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</w:t>
      </w:r>
      <w:r>
        <w:rPr>
          <w:rFonts w:ascii="Times New Roman" w:hAnsi="Times New Roman"/>
          <w:sz w:val="28"/>
        </w:rPr>
        <w:t xml:space="preserve"> «Функционирование систем электронной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проезда при осуществлении перевозок по </w:t>
      </w:r>
      <w:r>
        <w:rPr>
          <w:rFonts w:ascii="Times New Roman" w:hAnsi="Times New Roman"/>
          <w:sz w:val="28"/>
        </w:rPr>
        <w:t>меж</w:t>
      </w:r>
      <w:r>
        <w:rPr>
          <w:rFonts w:ascii="Times New Roman" w:hAnsi="Times New Roman"/>
          <w:sz w:val="28"/>
        </w:rPr>
        <w:t xml:space="preserve">муниципальным маршрутам регулярных перевозок </w:t>
      </w:r>
      <w:r>
        <w:rPr>
          <w:rFonts w:ascii="Times New Roman" w:hAnsi="Times New Roman"/>
          <w:sz w:val="28"/>
        </w:rPr>
        <w:t>транспортом общего пользования (автобусами, троллейбусами, трамваями, метрополитеном)</w:t>
      </w:r>
      <w:r>
        <w:rPr>
          <w:rFonts w:ascii="Times New Roman" w:hAnsi="Times New Roman"/>
          <w:sz w:val="28"/>
        </w:rPr>
        <w:t>»</w:t>
      </w:r>
    </w:p>
    <w:p w14:paraId="02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846"/>
      </w:tblPr>
      <w:tblGrid>
        <w:gridCol w:w="1043"/>
        <w:gridCol w:w="5336"/>
        <w:gridCol w:w="8047"/>
      </w:tblGrid>
      <w:tr>
        <w:trPr>
          <w:trHeight w:hRule="atLeast" w:val="356"/>
        </w:trPr>
        <w:tc>
          <w:tcPr>
            <w:tcW w:type="dxa" w:w="1043"/>
            <w:vAlign w:val="center"/>
          </w:tcPr>
          <w:p w14:paraId="0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336"/>
            <w:vAlign w:val="center"/>
          </w:tcPr>
          <w:p w14:paraId="0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type="dxa" w:w="8047"/>
            <w:vAlign w:val="center"/>
          </w:tcPr>
          <w:p w14:paraId="0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>
        <w:trPr>
          <w:trHeight w:hRule="atLeast" w:val="356"/>
        </w:trPr>
        <w:tc>
          <w:tcPr>
            <w:tcW w:type="dxa" w:w="14426"/>
            <w:gridSpan w:val="3"/>
            <w:vAlign w:val="center"/>
          </w:tcPr>
          <w:p w14:paraId="0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Оснащенность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средствами безналичной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оплаты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проезда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транспортных средств</w:t>
            </w:r>
          </w:p>
        </w:tc>
      </w:tr>
      <w:tr>
        <w:trPr>
          <w:trHeight w:hRule="atLeast" w:val="596"/>
        </w:trPr>
        <w:tc>
          <w:tcPr>
            <w:tcW w:type="dxa" w:w="1043"/>
            <w:vAlign w:val="center"/>
          </w:tcPr>
          <w:p w14:paraId="0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336"/>
            <w:vAlign w:val="center"/>
          </w:tcPr>
          <w:p w14:paraId="0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количеств</w:t>
            </w:r>
            <w:r>
              <w:rPr>
                <w:rFonts w:ascii="Times New Roman" w:hAnsi="Times New Roman"/>
                <w:sz w:val="24"/>
              </w:rPr>
              <w:t xml:space="preserve">о транспортных средств, осуществляющих транспортное обслуживание населения 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</w:t>
            </w:r>
            <w:r>
              <w:rPr>
                <w:rFonts w:ascii="Times New Roman" w:hAnsi="Times New Roman"/>
                <w:sz w:val="24"/>
              </w:rPr>
              <w:t xml:space="preserve">, оснащены 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оплаты проезда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8047"/>
            <w:vAlign w:val="center"/>
          </w:tcPr>
          <w:p w14:paraId="0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Количество транспортных средств, осуществляющих транспортное обслуживание населения 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 xml:space="preserve">муниципальных маршрутах -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i w:val="1"/>
                <w:sz w:val="24"/>
              </w:rPr>
              <w:t>апишите точное количество</w:t>
            </w:r>
          </w:p>
        </w:tc>
      </w:tr>
      <w:tr>
        <w:trPr>
          <w:trHeight w:hRule="atLeast" w:val="896"/>
        </w:trPr>
        <w:tc>
          <w:tcPr>
            <w:tcW w:type="dxa" w:w="1043"/>
            <w:vAlign w:val="center"/>
          </w:tcPr>
          <w:p w14:paraId="0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336"/>
            <w:vAlign w:val="center"/>
          </w:tcPr>
          <w:p w14:paraId="0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доля транспортных средств, осуществляющих транспортное обслуживание населения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</w:t>
            </w:r>
            <w:r>
              <w:rPr>
                <w:rFonts w:ascii="Times New Roman" w:hAnsi="Times New Roman"/>
                <w:sz w:val="24"/>
              </w:rPr>
              <w:t>, от общего количества</w:t>
            </w:r>
            <w:r>
              <w:rPr>
                <w:rFonts w:ascii="Times New Roman" w:hAnsi="Times New Roman"/>
                <w:sz w:val="24"/>
              </w:rPr>
              <w:t xml:space="preserve"> транспортных средств, осуществляющих транспортное обслуживание населения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</w:t>
            </w:r>
            <w:r>
              <w:rPr>
                <w:rFonts w:ascii="Times New Roman" w:hAnsi="Times New Roman"/>
                <w:sz w:val="24"/>
              </w:rPr>
              <w:t xml:space="preserve">, оснащены 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проезда?</w:t>
            </w:r>
          </w:p>
        </w:tc>
        <w:tc>
          <w:tcPr>
            <w:tcW w:type="dxa" w:w="8047"/>
            <w:vAlign w:val="center"/>
          </w:tcPr>
          <w:p w14:paraId="0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Напишите %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</w:tr>
      <w:tr>
        <w:trPr>
          <w:trHeight w:hRule="atLeast" w:val="1399"/>
        </w:trPr>
        <w:tc>
          <w:tcPr>
            <w:tcW w:type="dxa" w:w="1043"/>
            <w:vAlign w:val="center"/>
          </w:tcPr>
          <w:p w14:paraId="0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336"/>
            <w:vAlign w:val="center"/>
          </w:tcPr>
          <w:p w14:paraId="0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</w:t>
            </w: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</w:rPr>
              <w:t xml:space="preserve">(средства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используется</w:t>
            </w:r>
            <w:r>
              <w:rPr>
                <w:rFonts w:ascii="Times New Roman" w:hAnsi="Times New Roman"/>
                <w:sz w:val="24"/>
              </w:rPr>
              <w:t xml:space="preserve"> на транспортных средствах?</w:t>
            </w:r>
          </w:p>
        </w:tc>
        <w:tc>
          <w:tcPr>
            <w:tcW w:type="dxa" w:w="8047"/>
            <w:vAlign w:val="center"/>
          </w:tcPr>
          <w:p w14:paraId="0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Отметьте все подходящие варианты:</w:t>
            </w:r>
          </w:p>
          <w:p w14:paraId="10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бесконтактных чиповых карточек</w:t>
            </w:r>
          </w:p>
          <w:p w14:paraId="11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 </w:t>
            </w:r>
            <w:r>
              <w:rPr>
                <w:rFonts w:ascii="Times New Roman" w:hAnsi="Times New Roman"/>
                <w:sz w:val="24"/>
                <w:highlight w:val="white"/>
              </w:rPr>
              <w:t>воз</w:t>
            </w:r>
            <w:r>
              <w:rPr>
                <w:rFonts w:ascii="Times New Roman" w:hAnsi="Times New Roman"/>
                <w:sz w:val="24"/>
                <w:highlight w:val="white"/>
              </w:rPr>
              <w:t>можностью печати проездного документа</w:t>
            </w:r>
          </w:p>
          <w:p w14:paraId="12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Карточный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 маркировкой билетов</w:t>
            </w:r>
          </w:p>
          <w:p w14:paraId="13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Электронный компостер бумажных билетов</w:t>
            </w:r>
          </w:p>
          <w:p w14:paraId="14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Карточный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со встроенной передачей данных</w:t>
            </w:r>
          </w:p>
          <w:p w14:paraId="15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Мобильные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для кондукторов и водителей</w:t>
            </w:r>
          </w:p>
          <w:p w14:paraId="16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Иное (указать свой вариант)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1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336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Какая доля транспортных средств, осуществляющих транспортное обслуживание населения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</w:t>
            </w:r>
            <w:r>
              <w:rPr>
                <w:rFonts w:ascii="Times New Roman" w:hAnsi="Times New Roman"/>
                <w:sz w:val="24"/>
              </w:rPr>
              <w:t xml:space="preserve">, от общего количества транспортных средств, оснащенных системой </w:t>
            </w:r>
            <w:r>
              <w:rPr>
                <w:rFonts w:ascii="Times New Roman" w:hAnsi="Times New Roman"/>
                <w:sz w:val="24"/>
              </w:rPr>
              <w:t xml:space="preserve">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</w:t>
            </w:r>
            <w:r>
              <w:rPr>
                <w:rFonts w:ascii="Times New Roman" w:hAnsi="Times New Roman"/>
                <w:sz w:val="24"/>
              </w:rPr>
              <w:t xml:space="preserve"> оплаты проезда, оснащены стационарными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валидаторами?</w:t>
            </w:r>
          </w:p>
          <w:p w14:paraId="1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47"/>
            <w:vAlign w:val="center"/>
          </w:tcPr>
          <w:p w14:paraId="1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1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336"/>
            <w:vAlign w:val="center"/>
          </w:tcPr>
          <w:p w14:paraId="1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количество </w:t>
            </w:r>
            <w:r>
              <w:rPr>
                <w:rFonts w:ascii="Times New Roman" w:hAnsi="Times New Roman"/>
                <w:sz w:val="24"/>
              </w:rPr>
              <w:t>валидаторов</w:t>
            </w:r>
            <w:r>
              <w:rPr>
                <w:rFonts w:ascii="Times New Roman" w:hAnsi="Times New Roman"/>
                <w:sz w:val="24"/>
              </w:rPr>
              <w:t xml:space="preserve"> (стационарных и мобильных) используется на различных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 xml:space="preserve">ах </w:t>
            </w:r>
            <w:r>
              <w:rPr>
                <w:rFonts w:ascii="Times New Roman" w:hAnsi="Times New Roman"/>
                <w:sz w:val="24"/>
              </w:rPr>
              <w:t xml:space="preserve">транспортных средств? </w:t>
            </w:r>
          </w:p>
        </w:tc>
        <w:tc>
          <w:tcPr>
            <w:tcW w:type="dxa" w:w="8047"/>
            <w:vAlign w:val="center"/>
          </w:tcPr>
          <w:p w14:paraId="1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особо малый –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1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малый 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1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2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большой 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2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особо большой 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2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336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Какая доля транспортных средств, осуществляющих транспортное обслуживание населения на</w:t>
            </w:r>
            <w:r>
              <w:rPr>
                <w:rFonts w:ascii="Times New Roman" w:hAnsi="Times New Roman"/>
                <w:sz w:val="24"/>
              </w:rPr>
              <w:t xml:space="preserve"> 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</w:t>
            </w:r>
            <w:r>
              <w:rPr>
                <w:rFonts w:ascii="Times New Roman" w:hAnsi="Times New Roman"/>
                <w:sz w:val="24"/>
              </w:rPr>
              <w:t xml:space="preserve">, от общего количества транспортных средств, оснащенных </w:t>
            </w:r>
            <w:r>
              <w:rPr>
                <w:rFonts w:ascii="Times New Roman" w:hAnsi="Times New Roman"/>
                <w:sz w:val="24"/>
              </w:rPr>
              <w:t xml:space="preserve">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 проезда, оснащены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мобильными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валидаторами?</w:t>
            </w:r>
          </w:p>
          <w:p w14:paraId="2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47"/>
            <w:vAlign w:val="center"/>
          </w:tcPr>
          <w:p w14:paraId="2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</w:p>
        </w:tc>
      </w:tr>
      <w:tr>
        <w:trPr>
          <w:trHeight w:hRule="atLeast" w:val="646"/>
        </w:trPr>
        <w:tc>
          <w:tcPr>
            <w:tcW w:type="dxa" w:w="14426"/>
            <w:gridSpan w:val="3"/>
            <w:vAlign w:val="center"/>
          </w:tcPr>
          <w:p w14:paraId="2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Использование безналичной оплаты пассажирами</w:t>
            </w: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2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336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доля поездок от общего числа поездок на транспорте общего пользования совершается с использованием безналичной оплаты?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динамика этой доли за последние 3 года?</w:t>
            </w:r>
          </w:p>
        </w:tc>
        <w:tc>
          <w:tcPr>
            <w:tcW w:type="dxa" w:w="8047"/>
            <w:vAlign w:val="center"/>
          </w:tcPr>
          <w:p w14:paraId="2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Напишите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абсолютное значение и долю (</w:t>
            </w:r>
            <w:r>
              <w:rPr>
                <w:rFonts w:ascii="Times New Roman" w:hAnsi="Times New Roman"/>
                <w:i w:val="1"/>
                <w:sz w:val="24"/>
              </w:rPr>
              <w:t>%</w:t>
            </w:r>
            <w:r>
              <w:rPr>
                <w:rFonts w:ascii="Times New Roman" w:hAnsi="Times New Roman"/>
                <w:i w:val="1"/>
                <w:sz w:val="24"/>
              </w:rPr>
              <w:t>) за 2016, 2017, 2018 гг.</w:t>
            </w: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2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336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случае значения доли ниже 35%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2018 г.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связи  с чем безналичная оплата проезда не пользуется спросом у населения?</w:t>
            </w:r>
          </w:p>
        </w:tc>
        <w:tc>
          <w:tcPr>
            <w:tcW w:type="dxa" w:w="8047"/>
            <w:vAlign w:val="center"/>
          </w:tcPr>
          <w:p w14:paraId="2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100"/>
        </w:trPr>
        <w:tc>
          <w:tcPr>
            <w:tcW w:type="dxa" w:w="14426"/>
            <w:gridSpan w:val="3"/>
            <w:vAlign w:val="center"/>
          </w:tcPr>
          <w:p w14:paraId="2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Эквайринг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3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336"/>
            <w:vAlign w:val="center"/>
          </w:tcPr>
          <w:p w14:paraId="3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является оператором с</w:t>
            </w:r>
            <w:r>
              <w:rPr>
                <w:rFonts w:ascii="Times New Roman" w:hAnsi="Times New Roman"/>
                <w:sz w:val="24"/>
              </w:rPr>
              <w:t xml:space="preserve">истемы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 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сообщении)?</w:t>
            </w:r>
          </w:p>
        </w:tc>
        <w:tc>
          <w:tcPr>
            <w:tcW w:type="dxa" w:w="8047"/>
            <w:vAlign w:val="center"/>
          </w:tcPr>
          <w:p w14:paraId="32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Штрих-М</w:t>
            </w:r>
          </w:p>
          <w:p w14:paraId="33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Золотая корона</w:t>
            </w:r>
          </w:p>
          <w:p w14:paraId="34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Удобный маршрут</w:t>
            </w:r>
          </w:p>
          <w:p w14:paraId="35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PayPractic</w:t>
            </w:r>
          </w:p>
          <w:p w14:paraId="36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Бенток</w:t>
            </w:r>
            <w:r>
              <w:rPr>
                <w:rFonts w:ascii="Times New Roman" w:hAnsi="Times New Roman"/>
                <w:sz w:val="24"/>
              </w:rPr>
              <w:t>- Смоленск</w:t>
            </w:r>
          </w:p>
          <w:p w14:paraId="37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ЭЛСИ</w:t>
            </w:r>
          </w:p>
          <w:p w14:paraId="38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Ситикард</w:t>
            </w:r>
          </w:p>
          <w:p w14:paraId="39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Иное (указать)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3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336"/>
            <w:vAlign w:val="center"/>
          </w:tcPr>
          <w:p w14:paraId="3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процент от стоимости билета составляет плата за транзакцию  (плата оператору)?</w:t>
            </w:r>
          </w:p>
        </w:tc>
        <w:tc>
          <w:tcPr>
            <w:tcW w:type="dxa" w:w="8047"/>
            <w:vAlign w:val="center"/>
          </w:tcPr>
          <w:p w14:paraId="3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- 0-1%</w:t>
            </w:r>
          </w:p>
          <w:p w14:paraId="3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-1-2%</w:t>
            </w:r>
          </w:p>
          <w:p w14:paraId="3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-2-3%</w:t>
            </w:r>
          </w:p>
          <w:p w14:paraId="3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-3-4%</w:t>
            </w:r>
          </w:p>
          <w:p w14:paraId="4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-4-5%</w:t>
            </w:r>
          </w:p>
          <w:p w14:paraId="4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-5-6%</w:t>
            </w:r>
          </w:p>
          <w:p w14:paraId="4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-6-7%</w:t>
            </w:r>
          </w:p>
          <w:p w14:paraId="4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-7-8%</w:t>
            </w:r>
          </w:p>
          <w:p w14:paraId="4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-8-9%</w:t>
            </w:r>
          </w:p>
          <w:p w14:paraId="4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-9-10%</w:t>
            </w:r>
          </w:p>
          <w:p w14:paraId="4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Иное (указать свой вариант)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4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336"/>
            <w:vAlign w:val="center"/>
          </w:tcPr>
          <w:p w14:paraId="4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процент от стоимости билета составляет плата за транзакцию (банковский </w:t>
            </w:r>
            <w:r>
              <w:rPr>
                <w:rFonts w:ascii="Times New Roman" w:hAnsi="Times New Roman"/>
                <w:sz w:val="24"/>
              </w:rPr>
              <w:t>эквайринг</w:t>
            </w:r>
            <w:r>
              <w:rPr>
                <w:rFonts w:ascii="Times New Roman" w:hAnsi="Times New Roman"/>
                <w:sz w:val="24"/>
              </w:rPr>
              <w:t>)?</w:t>
            </w:r>
          </w:p>
        </w:tc>
        <w:tc>
          <w:tcPr>
            <w:tcW w:type="dxa" w:w="8047"/>
            <w:vAlign w:val="center"/>
          </w:tcPr>
          <w:p w14:paraId="4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- 0-1%</w:t>
            </w:r>
          </w:p>
          <w:p w14:paraId="4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-1-2%</w:t>
            </w:r>
          </w:p>
          <w:p w14:paraId="4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-2-3%</w:t>
            </w:r>
          </w:p>
          <w:p w14:paraId="4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-3-4%</w:t>
            </w:r>
          </w:p>
          <w:p w14:paraId="4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-4-5%</w:t>
            </w:r>
          </w:p>
          <w:p w14:paraId="4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-5-6%</w:t>
            </w:r>
          </w:p>
          <w:p w14:paraId="4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-6-7%</w:t>
            </w:r>
          </w:p>
          <w:p w14:paraId="5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Иное (указать свой вариант)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5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336"/>
            <w:vAlign w:val="center"/>
          </w:tcPr>
          <w:p w14:paraId="5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оказывает </w:t>
            </w:r>
            <w:r>
              <w:rPr>
                <w:rFonts w:ascii="Times New Roman" w:hAnsi="Times New Roman"/>
                <w:sz w:val="24"/>
              </w:rPr>
              <w:t>эквайринговые</w:t>
            </w:r>
            <w:r>
              <w:rPr>
                <w:rFonts w:ascii="Times New Roman" w:hAnsi="Times New Roman"/>
                <w:sz w:val="24"/>
              </w:rPr>
              <w:t xml:space="preserve"> услуги по осуществлению платежей </w:t>
            </w:r>
            <w:r>
              <w:rPr>
                <w:rFonts w:ascii="Times New Roman" w:hAnsi="Times New Roman"/>
                <w:sz w:val="24"/>
              </w:rPr>
              <w:t xml:space="preserve">посредством системы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проезда?</w:t>
            </w:r>
          </w:p>
        </w:tc>
        <w:tc>
          <w:tcPr>
            <w:tcW w:type="dxa" w:w="8047"/>
            <w:vAlign w:val="center"/>
          </w:tcPr>
          <w:p w14:paraId="5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Напишите наименования оператора (</w:t>
            </w:r>
            <w:r>
              <w:rPr>
                <w:rFonts w:ascii="Times New Roman" w:hAnsi="Times New Roman"/>
                <w:i w:val="1"/>
                <w:sz w:val="24"/>
              </w:rPr>
              <w:t>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)  </w:t>
            </w:r>
            <w:r>
              <w:rPr>
                <w:rFonts w:ascii="Times New Roman" w:hAnsi="Times New Roman"/>
                <w:i w:val="1"/>
                <w:sz w:val="24"/>
              </w:rPr>
              <w:t>эквайринговых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 с указанием города (банковские организации)</w:t>
            </w:r>
          </w:p>
        </w:tc>
      </w:tr>
      <w:tr>
        <w:trPr>
          <w:trHeight w:hRule="atLeast" w:val="265"/>
        </w:trPr>
        <w:tc>
          <w:tcPr>
            <w:tcW w:type="dxa" w:w="14426"/>
            <w:gridSpan w:val="3"/>
            <w:vAlign w:val="center"/>
          </w:tcPr>
          <w:p w14:paraId="5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Архитектура </w:t>
            </w:r>
            <w:r>
              <w:rPr>
                <w:rFonts w:ascii="Times New Roman" w:hAnsi="Times New Roman"/>
                <w:i w:val="1"/>
                <w:sz w:val="24"/>
              </w:rPr>
              <w:t xml:space="preserve">и особенности функционирования </w:t>
            </w:r>
            <w:r>
              <w:rPr>
                <w:rFonts w:ascii="Times New Roman" w:hAnsi="Times New Roman"/>
                <w:i w:val="1"/>
                <w:sz w:val="24"/>
              </w:rPr>
              <w:t>системы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5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336"/>
            <w:vAlign w:val="center"/>
          </w:tcPr>
          <w:p w14:paraId="5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и каким образом осуществляется передача информации от оборудования в транспортном средстве в единый процессинговый центр?</w:t>
            </w:r>
          </w:p>
        </w:tc>
        <w:tc>
          <w:tcPr>
            <w:tcW w:type="dxa" w:w="8047"/>
            <w:vAlign w:val="center"/>
          </w:tcPr>
          <w:p w14:paraId="5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5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336"/>
            <w:vAlign w:val="center"/>
          </w:tcPr>
          <w:p w14:paraId="5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</w:t>
            </w:r>
            <w:r>
              <w:rPr>
                <w:rFonts w:ascii="Times New Roman" w:hAnsi="Times New Roman"/>
                <w:sz w:val="24"/>
              </w:rPr>
              <w:t xml:space="preserve">и каким образом </w:t>
            </w:r>
            <w:r>
              <w:rPr>
                <w:rFonts w:ascii="Times New Roman" w:hAnsi="Times New Roman"/>
                <w:sz w:val="24"/>
              </w:rPr>
              <w:t>осуществляет сбор данных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5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5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336"/>
            <w:vAlign w:val="center"/>
          </w:tcPr>
          <w:p w14:paraId="5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</w:t>
            </w:r>
            <w:r>
              <w:rPr>
                <w:rFonts w:ascii="Times New Roman" w:hAnsi="Times New Roman"/>
                <w:sz w:val="24"/>
              </w:rPr>
              <w:t>и каким образом</w:t>
            </w:r>
            <w:r>
              <w:rPr>
                <w:rFonts w:ascii="Times New Roman" w:hAnsi="Times New Roman"/>
                <w:sz w:val="24"/>
              </w:rPr>
              <w:t xml:space="preserve"> осуществляет хранение данных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5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5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336"/>
            <w:vAlign w:val="center"/>
          </w:tcPr>
          <w:p w14:paraId="5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</w:t>
            </w:r>
            <w:r>
              <w:rPr>
                <w:rFonts w:ascii="Times New Roman" w:hAnsi="Times New Roman"/>
                <w:sz w:val="24"/>
              </w:rPr>
              <w:t>и каким образом</w:t>
            </w:r>
            <w:r>
              <w:rPr>
                <w:rFonts w:ascii="Times New Roman" w:hAnsi="Times New Roman"/>
                <w:sz w:val="24"/>
              </w:rPr>
              <w:t xml:space="preserve"> осуществляет защиту данных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6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6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336"/>
            <w:vAlign w:val="center"/>
          </w:tcPr>
          <w:p w14:paraId="6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данные собирают системы оплаты проезда?</w:t>
            </w:r>
          </w:p>
        </w:tc>
        <w:tc>
          <w:tcPr>
            <w:tcW w:type="dxa" w:w="8047"/>
            <w:vAlign w:val="center"/>
          </w:tcPr>
          <w:p w14:paraId="6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92"/>
        </w:trPr>
        <w:tc>
          <w:tcPr>
            <w:tcW w:type="dxa" w:w="1043"/>
            <w:vAlign w:val="center"/>
          </w:tcPr>
          <w:p w14:paraId="6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5336"/>
            <w:vAlign w:val="center"/>
          </w:tcPr>
          <w:p w14:paraId="6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имеет доступ к информации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6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92"/>
        </w:trPr>
        <w:tc>
          <w:tcPr>
            <w:tcW w:type="dxa" w:w="1043"/>
            <w:vAlign w:val="center"/>
          </w:tcPr>
          <w:p w14:paraId="6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5336"/>
            <w:vAlign w:val="center"/>
          </w:tcPr>
          <w:p w14:paraId="6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осуществляется доступ организатора перевозок к информации об проведенных транзакциях?</w:t>
            </w:r>
          </w:p>
        </w:tc>
        <w:tc>
          <w:tcPr>
            <w:tcW w:type="dxa" w:w="8047"/>
            <w:vAlign w:val="center"/>
          </w:tcPr>
          <w:p w14:paraId="6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92"/>
        </w:trPr>
        <w:tc>
          <w:tcPr>
            <w:tcW w:type="dxa" w:w="1043"/>
            <w:vAlign w:val="center"/>
          </w:tcPr>
          <w:p w14:paraId="6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5336"/>
            <w:vAlign w:val="center"/>
          </w:tcPr>
          <w:p w14:paraId="6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долго хранится информация об осуществленных транзакциях в системе?</w:t>
            </w:r>
          </w:p>
        </w:tc>
        <w:tc>
          <w:tcPr>
            <w:tcW w:type="dxa" w:w="8047"/>
            <w:vAlign w:val="center"/>
          </w:tcPr>
          <w:p w14:paraId="6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1072"/>
        </w:trPr>
        <w:tc>
          <w:tcPr>
            <w:tcW w:type="dxa" w:w="1043"/>
            <w:tcBorders>
              <w:bottom w:color="000000" w:sz="4" w:val="single"/>
            </w:tcBorders>
            <w:vAlign w:val="center"/>
          </w:tcPr>
          <w:p w14:paraId="6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5336"/>
            <w:tcBorders>
              <w:bottom w:color="000000" w:sz="4" w:val="single"/>
            </w:tcBorders>
            <w:vAlign w:val="center"/>
          </w:tcPr>
          <w:p w14:paraId="6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случае функционирования на территории муниципалитета нескольких операторов:</w:t>
            </w:r>
          </w:p>
          <w:p w14:paraId="6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осуществляется обмен данными между системами от различных операторов?</w:t>
            </w:r>
          </w:p>
        </w:tc>
        <w:tc>
          <w:tcPr>
            <w:tcW w:type="dxa" w:w="8047"/>
            <w:tcBorders>
              <w:bottom w:color="000000" w:sz="4" w:val="single"/>
            </w:tcBorders>
            <w:vAlign w:val="center"/>
          </w:tcPr>
          <w:p w14:paraId="7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100"/>
        </w:trPr>
        <w:tc>
          <w:tcPr>
            <w:tcW w:type="dxa" w:w="14426"/>
            <w:gridSpan w:val="3"/>
            <w:tcBorders>
              <w:top w:color="000000" w:sz="4" w:val="single"/>
            </w:tcBorders>
            <w:vAlign w:val="center"/>
          </w:tcPr>
          <w:p w14:paraId="7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Оборудование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7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5336"/>
            <w:vAlign w:val="center"/>
          </w:tcPr>
          <w:p w14:paraId="7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и на каких условиях поставляет оборудование в транспортные средства, осуществляющие транспортное обслуживание населения на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(в пригородном сообщении)</w:t>
            </w:r>
            <w:r>
              <w:rPr>
                <w:rFonts w:ascii="Times New Roman" w:hAnsi="Times New Roman"/>
                <w:i w:val="1"/>
                <w:sz w:val="24"/>
              </w:rPr>
              <w:t>?</w:t>
            </w:r>
          </w:p>
        </w:tc>
        <w:tc>
          <w:tcPr>
            <w:tcW w:type="dxa" w:w="8047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0"/>
        </w:trPr>
        <w:tc>
          <w:tcPr>
            <w:tcW w:type="dxa" w:w="14426"/>
            <w:gridSpan w:val="3"/>
            <w:vAlign w:val="center"/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Финансовые отношения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7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5336"/>
            <w:vAlign w:val="center"/>
          </w:tcPr>
          <w:p w14:paraId="7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 каким образом осуществляет распространение транспортных карт среди пассажиров?</w:t>
            </w:r>
          </w:p>
        </w:tc>
        <w:tc>
          <w:tcPr>
            <w:tcW w:type="dxa" w:w="8047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7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5336"/>
            <w:vAlign w:val="center"/>
          </w:tcPr>
          <w:p w14:paraId="7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(в абсолютном и относительном выражении) отличается стоимость разового проезда по транспортной карте и стоимость разового билета, приобретенного у водителя?</w:t>
            </w:r>
          </w:p>
        </w:tc>
        <w:tc>
          <w:tcPr>
            <w:tcW w:type="dxa" w:w="8047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7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336"/>
            <w:vAlign w:val="center"/>
          </w:tcPr>
          <w:p w14:paraId="7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и каким образом осуществляется перечисление средств от безналичной оплаты проезда перевозчикам?</w:t>
            </w:r>
          </w:p>
        </w:tc>
        <w:tc>
          <w:tcPr>
            <w:tcW w:type="dxa" w:w="8047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4426"/>
            <w:gridSpan w:val="3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Заинтересованность перевозчиков в установке оборудования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8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5336"/>
            <w:vAlign w:val="center"/>
          </w:tcPr>
          <w:p w14:paraId="8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Насколько перевозчики заинтересованы в установке специализированного оборудования в транспортные средства?</w:t>
            </w:r>
          </w:p>
        </w:tc>
        <w:tc>
          <w:tcPr>
            <w:tcW w:type="dxa" w:w="8047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</w:tbl>
    <w:p w14:paraId="83000000">
      <w:pPr>
        <w:pStyle w:val="Style_1"/>
        <w:rPr>
          <w:rFonts w:ascii="Times New Roman" w:hAnsi="Times New Roman"/>
          <w:sz w:val="24"/>
        </w:rPr>
      </w:pPr>
      <w:bookmarkStart w:id="1" w:name="_GoBack"/>
      <w:bookmarkEnd w:id="1"/>
    </w:p>
    <w:sectPr>
      <w:pgSz w:h="11906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annotation reference"/>
    <w:basedOn w:val="Style_6"/>
    <w:link w:val="Style_5_ch"/>
    <w:rPr>
      <w:sz w:val="16"/>
    </w:rPr>
  </w:style>
  <w:style w:styleId="Style_5_ch" w:type="character">
    <w:name w:val="annotation reference"/>
    <w:basedOn w:val="Style_6_ch"/>
    <w:link w:val="Style_5"/>
    <w:rPr>
      <w:sz w:val="16"/>
    </w:rPr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annotation text"/>
    <w:basedOn w:val="Style_3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3_ch"/>
    <w:link w:val="Style_11"/>
    <w:rPr>
      <w:sz w:val="20"/>
    </w:rPr>
  </w:style>
  <w:style w:styleId="Style_12" w:type="paragraph">
    <w:name w:val="toc 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annotation subject"/>
    <w:basedOn w:val="Style_11"/>
    <w:next w:val="Style_11"/>
    <w:link w:val="Style_14_ch"/>
    <w:rPr>
      <w:b w:val="1"/>
    </w:rPr>
  </w:style>
  <w:style w:styleId="Style_14_ch" w:type="character">
    <w:name w:val="annotation subject"/>
    <w:basedOn w:val="Style_11_ch"/>
    <w:link w:val="Style_14"/>
    <w:rPr>
      <w:b w:val="1"/>
    </w:rPr>
  </w:style>
  <w:style w:styleId="Style_15" w:type="paragraph">
    <w:name w:val="heading 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  <w:color w:val="757575"/>
      <w:sz w:val="20"/>
    </w:rPr>
  </w:style>
  <w:style w:styleId="Style_17_ch" w:type="character">
    <w:name w:val="Footnote"/>
    <w:link w:val="Style_17"/>
    <w:rPr>
      <w:rFonts w:ascii="XO Thames" w:hAnsi="XO Thames"/>
      <w:color w:val="757575"/>
      <w:sz w:val="20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toc 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