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D92D0B" w:rsidRDefault="00B2380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ИНФОРМАЦИОННЫЙ БЮЛЛЕТЕНЬ О ПОРЯДКЕ</w:t>
      </w:r>
    </w:p>
    <w:p w14:paraId="02000000" w14:textId="77777777" w:rsidR="00D92D0B" w:rsidRDefault="00B2380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ИСПОЛЬЗОВАНИЯ ВОЗДУШНОГО ПРОСТРАНСТВА</w:t>
      </w:r>
    </w:p>
    <w:p w14:paraId="03000000" w14:textId="77777777" w:rsidR="00D92D0B" w:rsidRDefault="00B2380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 БЕСПИЛОТНЫМИ</w:t>
      </w:r>
    </w:p>
    <w:p w14:paraId="04000000" w14:textId="77777777" w:rsidR="00D92D0B" w:rsidRDefault="00B2380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ВОЗДУШНЫМИ СУДАМИ</w:t>
      </w:r>
    </w:p>
    <w:p w14:paraId="05000000" w14:textId="77777777" w:rsidR="00D92D0B" w:rsidRDefault="00B23802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06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последнее время отмечается значительное увеличение количества случаев нарушений порядка использования воздушного пространства </w:t>
      </w:r>
      <w:r>
        <w:rPr>
          <w:rFonts w:ascii="Times New Roman" w:hAnsi="Times New Roman"/>
          <w:sz w:val="28"/>
        </w:rPr>
        <w:t>Российской Федерации (далее - нарушения), допущенных гражданами - владельцами беспилотных воздушных судов (далее - БBC).</w:t>
      </w:r>
    </w:p>
    <w:p w14:paraId="07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Наибольшую опасность представляли случаи несанкционированного запуска БBC в районах аэродромов (вертодромов, посадочных площадок), кото</w:t>
      </w:r>
      <w:r>
        <w:rPr>
          <w:rFonts w:ascii="Times New Roman" w:hAnsi="Times New Roman"/>
          <w:sz w:val="28"/>
        </w:rPr>
        <w:t>рые могли повлечь за собой угрозу для безопасности полетов, а также запуски БBC над населенными пунктами, представляющие угрозу для безопасности людей и объектов на земле.</w:t>
      </w:r>
    </w:p>
    <w:p w14:paraId="08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количество нарушений было совершено владельцами БBC с максимальной взлетной</w:t>
      </w:r>
      <w:r>
        <w:rPr>
          <w:rFonts w:ascii="Times New Roman" w:hAnsi="Times New Roman"/>
          <w:sz w:val="28"/>
        </w:rPr>
        <w:t xml:space="preserve"> массой до 30 кг при выполнении полетов в частных целях. </w:t>
      </w:r>
    </w:p>
    <w:p w14:paraId="09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большинстве случаев допускаемые нарушения связаны с незнанием владельцами БBC правил использования воздушного пространства Российской Федерации и факторов опасности, связанных с запуском БBC.</w:t>
      </w:r>
    </w:p>
    <w:p w14:paraId="0A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 це</w:t>
      </w:r>
      <w:r>
        <w:rPr>
          <w:rFonts w:ascii="Times New Roman" w:hAnsi="Times New Roman"/>
          <w:sz w:val="28"/>
        </w:rPr>
        <w:t>лях исключения случаев несанкционированных запусков беспилотных гражданских воздушных судов обращаем внимание граждан - владельцев БBC на следующие требования воздушного законодательства Российской Федерации.</w:t>
      </w:r>
    </w:p>
    <w:p w14:paraId="0B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Беспилотные гражданские воздушные суда с максим</w:t>
      </w:r>
      <w:r>
        <w:rPr>
          <w:rFonts w:ascii="Times New Roman" w:hAnsi="Times New Roman"/>
          <w:sz w:val="28"/>
        </w:rPr>
        <w:t xml:space="preserve">альной взлетной массой от 0,25 килограмма до 30 килограммов, ввезенные в Российскую Федерацию или произведенные в Российской Федерации, подлежат учету в порядке, установленном Правилами учета беспилотных гражданских воздушных судов с максимальной взлетной </w:t>
      </w:r>
      <w:r>
        <w:rPr>
          <w:rFonts w:ascii="Times New Roman" w:hAnsi="Times New Roman"/>
          <w:sz w:val="28"/>
        </w:rPr>
        <w:t>массой от 0,25 килограмма до 30 килограммов, ввезенных в Российскую Федерацию или произведенных в Российской Федерации, утвержденными постановлением Правительства Российской Федерации от 25.05.2019 № 658, и Административным регламентом Федерального агентст</w:t>
      </w:r>
      <w:r>
        <w:rPr>
          <w:rFonts w:ascii="Times New Roman" w:hAnsi="Times New Roman"/>
          <w:sz w:val="28"/>
        </w:rPr>
        <w:t xml:space="preserve">ва воздушного транспорта предоставления государственной услуги по учету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Федерации, </w:t>
      </w:r>
      <w:r>
        <w:rPr>
          <w:rFonts w:ascii="Times New Roman" w:hAnsi="Times New Roman"/>
          <w:sz w:val="28"/>
        </w:rPr>
        <w:t xml:space="preserve">утвержденным приказом </w:t>
      </w:r>
      <w:proofErr w:type="spellStart"/>
      <w:r>
        <w:rPr>
          <w:rFonts w:ascii="Times New Roman" w:hAnsi="Times New Roman"/>
          <w:sz w:val="28"/>
        </w:rPr>
        <w:t>Росавиации</w:t>
      </w:r>
      <w:proofErr w:type="spellEnd"/>
      <w:r>
        <w:rPr>
          <w:rFonts w:ascii="Times New Roman" w:hAnsi="Times New Roman"/>
          <w:sz w:val="28"/>
        </w:rPr>
        <w:t xml:space="preserve"> от 28.10.2019 № 1040-П.</w:t>
      </w:r>
    </w:p>
    <w:p w14:paraId="0C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Беспилотные гражданские воздушные суда с максимальной взлетной массой более 30 килограммов подлежат государственной регистрации в порядке, установленном Административным регламентом Федерального аген</w:t>
      </w:r>
      <w:r>
        <w:rPr>
          <w:rFonts w:ascii="Times New Roman" w:hAnsi="Times New Roman"/>
          <w:sz w:val="28"/>
        </w:rPr>
        <w:t>тства воздушного транспорта предоставления государственной услуги по государственной регистрации гражданских воздушных судов и ведению государственного реестра гражданских воздушных судов Российской Федерации», утвержденным приказом Минтранса России от 05.</w:t>
      </w:r>
      <w:r>
        <w:rPr>
          <w:rFonts w:ascii="Times New Roman" w:hAnsi="Times New Roman"/>
          <w:sz w:val="28"/>
        </w:rPr>
        <w:t>12.2013 № 457.</w:t>
      </w:r>
    </w:p>
    <w:p w14:paraId="0D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Полеты БBC отнесены к деятельности по использованию воздушного пространства. Физические или юридические лица, планирующие осуществлять </w:t>
      </w:r>
      <w:r>
        <w:rPr>
          <w:rFonts w:ascii="Times New Roman" w:hAnsi="Times New Roman"/>
          <w:sz w:val="28"/>
        </w:rPr>
        <w:lastRenderedPageBreak/>
        <w:t>запуски БBC, должны знать и выполнять правила и процедуры, установленные воздушным законодательством Росси</w:t>
      </w:r>
      <w:r>
        <w:rPr>
          <w:rFonts w:ascii="Times New Roman" w:hAnsi="Times New Roman"/>
          <w:sz w:val="28"/>
        </w:rPr>
        <w:t>йской Федерации в сфере использования воздушного пространства.</w:t>
      </w:r>
    </w:p>
    <w:p w14:paraId="0E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использования воздушного пространства Российской Федерации, в том числе и БBC, установлен Федеральными правилами использования воздушного пространства Российской Федерации, утвержденным</w:t>
      </w:r>
      <w:r>
        <w:rPr>
          <w:rFonts w:ascii="Times New Roman" w:hAnsi="Times New Roman"/>
          <w:sz w:val="28"/>
        </w:rPr>
        <w:t>и постановлением Правительства Российской Федерации от 11.03.2010 № 138 (далее - Федеральные правила).</w:t>
      </w:r>
    </w:p>
    <w:p w14:paraId="0F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выполнения полетов БBC Федеральными правилами установлен разрешительный порядок использования воздушного пространства, независимо от класса воздушног</w:t>
      </w:r>
      <w:r>
        <w:rPr>
          <w:rFonts w:ascii="Times New Roman" w:hAnsi="Times New Roman"/>
          <w:sz w:val="28"/>
        </w:rPr>
        <w:t>о пространства, в котором выполняется полет.</w:t>
      </w:r>
    </w:p>
    <w:p w14:paraId="10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Разрешительный порядок использования воздушного пространства предусматривает направление в оперативные органы (центры) Единой системы организации воздушного движения Российской Федерации (далее - ЕС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>) предст</w:t>
      </w:r>
      <w:r>
        <w:rPr>
          <w:rFonts w:ascii="Times New Roman" w:hAnsi="Times New Roman"/>
          <w:sz w:val="28"/>
        </w:rPr>
        <w:t xml:space="preserve">авленного плана полета воздушного судна (БBC), a также получение разрешения центра ЕС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 xml:space="preserve"> на использование воздушного пространства, за исключением полетов BBC, предусмотренных пунктом 52(1) Федеральных правил. </w:t>
      </w:r>
    </w:p>
    <w:p w14:paraId="11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представленного плана полета воз</w:t>
      </w:r>
      <w:r>
        <w:rPr>
          <w:rFonts w:ascii="Times New Roman" w:hAnsi="Times New Roman"/>
          <w:sz w:val="28"/>
        </w:rPr>
        <w:t xml:space="preserve">душного судна (БBC) в центры ЕС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 xml:space="preserve"> осуществляется пользователем воздушного пространства (гражданином - владельцем БBC) в соответствии с Табелем сообщений о движении воздушных судов в Российской Федерации, утвержденным приказом Минтранса России от 24.01.2</w:t>
      </w:r>
      <w:r>
        <w:rPr>
          <w:rFonts w:ascii="Times New Roman" w:hAnsi="Times New Roman"/>
          <w:sz w:val="28"/>
        </w:rPr>
        <w:t>013 № 13.</w:t>
      </w:r>
    </w:p>
    <w:p w14:paraId="12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сайте ФГУП «</w:t>
      </w:r>
      <w:proofErr w:type="spellStart"/>
      <w:r>
        <w:rPr>
          <w:rFonts w:ascii="Times New Roman" w:hAnsi="Times New Roman"/>
          <w:sz w:val="28"/>
        </w:rPr>
        <w:t>Госкорпорация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>» для владельцев БBC с максимальной взлетной массой от 0,25 килограмма до 30 килограммов, прошедших процедуру учета БBC в Российской Федерации, предоставлена возможность самостоятельной регистрации в Системе пр</w:t>
      </w:r>
      <w:r>
        <w:rPr>
          <w:rFonts w:ascii="Times New Roman" w:hAnsi="Times New Roman"/>
          <w:sz w:val="28"/>
        </w:rPr>
        <w:t xml:space="preserve">едставления планов полетов по сети Интернет и телефонной сети (СППИ) и направления в оперативные органы ЕС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 xml:space="preserve"> представлений на установление временного и местного режимов, а также плана полета БBC.</w:t>
      </w:r>
    </w:p>
    <w:p w14:paraId="13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владельцев БBC, которые не прошли вышеуказанную проце</w:t>
      </w:r>
      <w:r>
        <w:rPr>
          <w:rFonts w:ascii="Times New Roman" w:hAnsi="Times New Roman"/>
          <w:sz w:val="28"/>
        </w:rPr>
        <w:t xml:space="preserve">дуру, предусмотрена возможность представления планов полетов в центры ЕС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 xml:space="preserve"> по телефону (факсу). Контактная информация, необходимая для направления плана полета воздушного судна (БBC), размещена на информационно- телекоммуникационных ресурсах в сети «Инт</w:t>
      </w:r>
      <w:r>
        <w:rPr>
          <w:rFonts w:ascii="Times New Roman" w:hAnsi="Times New Roman"/>
          <w:sz w:val="28"/>
        </w:rPr>
        <w:t>ернет» (далее — сеть «Интернет») www.ivprf.ru и http://gkovd.ru/servisy/.</w:t>
      </w:r>
    </w:p>
    <w:p w14:paraId="14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воздушного пространства БBC осуществляется посредством установления временного и местного режимов, а также кратковременных ограничений в интересах пользователей воздушн</w:t>
      </w:r>
      <w:r>
        <w:rPr>
          <w:rFonts w:ascii="Times New Roman" w:hAnsi="Times New Roman"/>
          <w:sz w:val="28"/>
        </w:rPr>
        <w:t>ого пространства, организующих полеты БBC.</w:t>
      </w:r>
    </w:p>
    <w:p w14:paraId="15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на установление временного и местного режимов подаются пользователями воздушного пространства в соответствии с Инструкцией по разработке, установлению, введению и снятию временного и местного режимов</w:t>
      </w:r>
      <w:r>
        <w:rPr>
          <w:rFonts w:ascii="Times New Roman" w:hAnsi="Times New Roman"/>
          <w:sz w:val="28"/>
        </w:rPr>
        <w:t>, а также кратковременных ограничений, утвержденной приказом Минтранса России от 27.06.2011 № 171.</w:t>
      </w:r>
    </w:p>
    <w:p w14:paraId="16000000" w14:textId="77B94BB8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Планирование и координирование использования воздушного пространства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осуществляется центрами ЕС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 xml:space="preserve"> в соответствии с федеральными авиационными правилами «</w:t>
      </w:r>
      <w:r>
        <w:rPr>
          <w:rFonts w:ascii="Times New Roman" w:hAnsi="Times New Roman"/>
          <w:sz w:val="28"/>
        </w:rPr>
        <w:t>Организация планирования использования воздушного пространства Российской Федерации», утвержденными приказом Минтранса России от 16.01.2012 № 6.</w:t>
      </w:r>
    </w:p>
    <w:p w14:paraId="17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использования воздушного пространства БBC (за исключением полетов беспилотных воздушных судов</w:t>
      </w:r>
      <w:r>
        <w:rPr>
          <w:rFonts w:ascii="Times New Roman" w:hAnsi="Times New Roman"/>
          <w:sz w:val="28"/>
        </w:rPr>
        <w:t xml:space="preserve"> с максимальной взлетной массой менее 0,25 кг) над населенным пунктом пользователю воздушного пространства (гражданину - владельцу БBC) в соответствии с пунктом 49 Федеральных правил дополнительно необходимо получить разрешение органа местного самоуправлен</w:t>
      </w:r>
      <w:r>
        <w:rPr>
          <w:rFonts w:ascii="Times New Roman" w:hAnsi="Times New Roman"/>
          <w:sz w:val="28"/>
        </w:rPr>
        <w:t>ия такого населенного пункта, а в городах федерального значения Москве, Санкт-Петербурге и Севастополе - разрешения соответствующих органов исполнительной власти указанных городов.</w:t>
      </w:r>
    </w:p>
    <w:p w14:paraId="18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52(1) Федеральных правил предусмотрен упрощенный порядок использова</w:t>
      </w:r>
      <w:r>
        <w:rPr>
          <w:rFonts w:ascii="Times New Roman" w:hAnsi="Times New Roman"/>
          <w:sz w:val="28"/>
        </w:rPr>
        <w:t>ния воздушного пространства в случае выполнения визуальных полетов БBC с максимальной взлетной массой до 30 кг, осуществляемых в пределах прямой видимости в светлое время суток на высотах менее 150 метров от земной или водной поверхности в воздушном простр</w:t>
      </w:r>
      <w:r>
        <w:rPr>
          <w:rFonts w:ascii="Times New Roman" w:hAnsi="Times New Roman"/>
          <w:sz w:val="28"/>
        </w:rPr>
        <w:t>анстве:</w:t>
      </w:r>
    </w:p>
    <w:p w14:paraId="19000000" w14:textId="77777777" w:rsidR="00D92D0B" w:rsidRDefault="00B23802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 диспетчерских зон аэродромов гражданской авиации, районов аэродромов (вертодромов) государственной и экспериментальной авиации, запретных зон, зон ограничения полетов, специальных зон, воздушного пространства над местами проведения публичных </w:t>
      </w:r>
      <w:r>
        <w:rPr>
          <w:rFonts w:ascii="Times New Roman" w:hAnsi="Times New Roman"/>
          <w:sz w:val="28"/>
        </w:rPr>
        <w:t>мероприятий, официальных спортивных соревнований, а также охранных мероприятий, проводимых в соответствии с Федеральным законом «О государственной охране»;</w:t>
      </w:r>
    </w:p>
    <w:p w14:paraId="1A000000" w14:textId="77777777" w:rsidR="00D92D0B" w:rsidRDefault="00B23802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удалении более 5 км от контрольных точек неконтролируемых аэродромов и посадочных площадок.</w:t>
      </w:r>
    </w:p>
    <w:p w14:paraId="1B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</w:t>
      </w:r>
      <w:r>
        <w:rPr>
          <w:rFonts w:ascii="Times New Roman" w:hAnsi="Times New Roman"/>
          <w:sz w:val="28"/>
        </w:rPr>
        <w:t>ыполнения вышеуказанных полетов БBC не требуется представление соответствующего плана полета, получение разрешения на использование воздушного пространства, а также направление представления на установление временных, местных режимов и кратковременных огра</w:t>
      </w:r>
      <w:r>
        <w:rPr>
          <w:rFonts w:ascii="Times New Roman" w:hAnsi="Times New Roman"/>
          <w:sz w:val="28"/>
        </w:rPr>
        <w:t>ничений.</w:t>
      </w:r>
    </w:p>
    <w:p w14:paraId="1C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Актуальная информация о границах и условиях использования элементов структуры воздушного пространства публикуется в Сборнике аэронавигационной информации Российской Федерации и находится в сети «Интернет» на сайте филиала «Центр Аэронавигационной </w:t>
      </w:r>
      <w:r>
        <w:rPr>
          <w:rFonts w:ascii="Times New Roman" w:hAnsi="Times New Roman"/>
          <w:sz w:val="28"/>
        </w:rPr>
        <w:t>Информации» ФГУП «</w:t>
      </w:r>
      <w:proofErr w:type="spellStart"/>
      <w:r>
        <w:rPr>
          <w:rFonts w:ascii="Times New Roman" w:hAnsi="Times New Roman"/>
          <w:sz w:val="28"/>
        </w:rPr>
        <w:t>Госкорпорация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ОрВД</w:t>
      </w:r>
      <w:proofErr w:type="spellEnd"/>
      <w:r>
        <w:rPr>
          <w:rFonts w:ascii="Times New Roman" w:hAnsi="Times New Roman"/>
          <w:sz w:val="28"/>
        </w:rPr>
        <w:t>» - www.caica.ru, в разделе ENR 2 «Воздушное пространство ОВД» по адресам:</w:t>
      </w:r>
    </w:p>
    <w:p w14:paraId="1D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hyperlink r:id="rId5" w:history="1">
        <w:r>
          <w:rPr>
            <w:rStyle w:val="ad"/>
            <w:rFonts w:ascii="Times New Roman" w:hAnsi="Times New Roman"/>
            <w:sz w:val="28"/>
          </w:rPr>
          <w:t>http://www.caica.ru/common/AirInter/validaip/html/rus.htm;</w:t>
        </w:r>
      </w:hyperlink>
      <w:r>
        <w:rPr>
          <w:rFonts w:ascii="Times New Roman" w:hAnsi="Times New Roman"/>
          <w:sz w:val="28"/>
        </w:rPr>
        <w:t xml:space="preserve">   </w:t>
      </w:r>
    </w:p>
    <w:p w14:paraId="1E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hyperlink r:id="rId6" w:history="1">
        <w:r>
          <w:rPr>
            <w:rStyle w:val="ad"/>
            <w:rFonts w:ascii="Times New Roman" w:hAnsi="Times New Roman"/>
            <w:sz w:val="28"/>
          </w:rPr>
          <w:t>http://www.caica.ru/common/AirClassABV/validaip2/html/rus.htm;</w:t>
        </w:r>
      </w:hyperlink>
      <w:r>
        <w:rPr>
          <w:rFonts w:ascii="Times New Roman" w:hAnsi="Times New Roman"/>
          <w:sz w:val="28"/>
        </w:rPr>
        <w:t xml:space="preserve"> </w:t>
      </w:r>
    </w:p>
    <w:p w14:paraId="1F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hyperlink r:id="rId7" w:history="1">
        <w:r>
          <w:rPr>
            <w:rStyle w:val="ad"/>
            <w:rFonts w:ascii="Times New Roman" w:hAnsi="Times New Roman"/>
            <w:sz w:val="28"/>
          </w:rPr>
          <w:t>http://www.caica.ru/common/AirClassGDE/validaip4/h</w:t>
        </w:r>
        <w:r>
          <w:rPr>
            <w:rStyle w:val="ad"/>
            <w:rFonts w:ascii="Times New Roman" w:hAnsi="Times New Roman"/>
            <w:sz w:val="28"/>
          </w:rPr>
          <w:t>tml/rus.htm</w:t>
        </w:r>
      </w:hyperlink>
      <w:r>
        <w:rPr>
          <w:rFonts w:ascii="Times New Roman" w:hAnsi="Times New Roman"/>
          <w:sz w:val="28"/>
        </w:rPr>
        <w:t xml:space="preserve">. </w:t>
      </w:r>
    </w:p>
    <w:p w14:paraId="20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планировании полетов БBC следует обратить внимание, что над территорией Российской Федерации вдоль ее государственной границы устанавливается приграничная полоса - воздушное пространство, примыкающее к государственной границе Российско</w:t>
      </w:r>
      <w:r>
        <w:rPr>
          <w:rFonts w:ascii="Times New Roman" w:hAnsi="Times New Roman"/>
          <w:sz w:val="28"/>
        </w:rPr>
        <w:t xml:space="preserve">й Федерации, шириной 25 км с особым режимом его использования. В приграничной полосе запрещены полеты без представления плана полета воздушного судна, разрешения на использование </w:t>
      </w:r>
      <w:r>
        <w:rPr>
          <w:rFonts w:ascii="Times New Roman" w:hAnsi="Times New Roman"/>
          <w:sz w:val="28"/>
        </w:rPr>
        <w:lastRenderedPageBreak/>
        <w:t>воздушного пространства и без радиосвязи экипажа воздушного судна с органом о</w:t>
      </w:r>
      <w:r>
        <w:rPr>
          <w:rFonts w:ascii="Times New Roman" w:hAnsi="Times New Roman"/>
          <w:sz w:val="28"/>
        </w:rPr>
        <w:t>бслуживания воздушного движения (управления полетами).</w:t>
      </w:r>
    </w:p>
    <w:p w14:paraId="21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</w:t>
      </w:r>
      <w:r>
        <w:rPr>
          <w:rFonts w:ascii="Times New Roman" w:hAnsi="Times New Roman"/>
          <w:sz w:val="28"/>
        </w:rPr>
        <w:t>ной службы безопасности Российской Федерации.</w:t>
      </w:r>
    </w:p>
    <w:p w14:paraId="22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предотвращения непреднамеренного нарушения государственной границы Российской Федерации, пункты управления БBC, находящиеся в приграничной полосе, должны иметь систему наблюдения, позволяющую осуществля</w:t>
      </w:r>
      <w:r>
        <w:rPr>
          <w:rFonts w:ascii="Times New Roman" w:hAnsi="Times New Roman"/>
          <w:sz w:val="28"/>
        </w:rPr>
        <w:t>ть контроль за полетом БBC.</w:t>
      </w:r>
    </w:p>
    <w:p w14:paraId="23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Соответствующими приказами Минтранса России в воздушном пространстве Российской Федерации установлены запретные зоны и зоны ограничения полетов, информация по которым находится в открытом доступе в сети «Интернет».</w:t>
      </w:r>
    </w:p>
    <w:p w14:paraId="24000000" w14:textId="77777777" w:rsidR="00D92D0B" w:rsidRDefault="00B2380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пунк</w:t>
      </w:r>
      <w:r>
        <w:rPr>
          <w:rFonts w:ascii="Times New Roman" w:hAnsi="Times New Roman"/>
          <w:sz w:val="28"/>
        </w:rPr>
        <w:t>ту 40 Федеральных правил, при необходимости использования воздушного пространства запретных зон и зон ограничения полетов, пользователи воздушного пространства (граждане - владельцы БBC) обязаны получить разрешение лиц, в интересах которых установлены таки</w:t>
      </w:r>
      <w:r>
        <w:rPr>
          <w:rFonts w:ascii="Times New Roman" w:hAnsi="Times New Roman"/>
          <w:sz w:val="28"/>
        </w:rPr>
        <w:t>е зоны. Почтовые адреса, телефоны, частоты радиосвязи авиационного диапазона лиц, наделенных полномочиями по выдаче таких разрешений опубликованы на официальном сайте Федерального агентства воздушного транспорта в сети «Интернет».</w:t>
      </w:r>
    </w:p>
    <w:p w14:paraId="25000000" w14:textId="77777777" w:rsidR="00D92D0B" w:rsidRDefault="00B23802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</w:rPr>
        <w:t>За нарушение правил испол</w:t>
      </w:r>
      <w:r>
        <w:rPr>
          <w:rFonts w:ascii="Times New Roman" w:hAnsi="Times New Roman"/>
          <w:sz w:val="28"/>
        </w:rPr>
        <w:t>ьзования воздушного пространства Кодексом Российской Федерации об административных правонарушениях (ст. 11.4) установлена соответствующая ответственность граждан, должностных и юридических лиц.</w:t>
      </w:r>
    </w:p>
    <w:sectPr w:rsidR="00D92D0B">
      <w:pgSz w:w="11906" w:h="16838"/>
      <w:pgMar w:top="1134" w:right="850" w:bottom="1134" w:left="9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E1674"/>
    <w:multiLevelType w:val="multilevel"/>
    <w:tmpl w:val="3172339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0B"/>
    <w:rsid w:val="00B23802"/>
    <w:rsid w:val="00D9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84388-3590-45CE-91FE-F8BE7890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pacing w:val="0"/>
      <w:sz w:val="24"/>
    </w:rPr>
  </w:style>
  <w:style w:type="paragraph" w:styleId="21">
    <w:name w:val="toc 2"/>
    <w:link w:val="22"/>
    <w:uiPriority w:val="39"/>
    <w:pPr>
      <w:ind w:left="200"/>
    </w:pPr>
    <w:rPr>
      <w:sz w:val="24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4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styleId="41">
    <w:name w:val="toc 4"/>
    <w:link w:val="42"/>
    <w:uiPriority w:val="39"/>
    <w:pPr>
      <w:ind w:left="600"/>
    </w:pPr>
    <w:rPr>
      <w:sz w:val="24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styleId="6">
    <w:name w:val="toc 6"/>
    <w:link w:val="60"/>
    <w:uiPriority w:val="39"/>
    <w:pPr>
      <w:ind w:left="1000"/>
    </w:pPr>
    <w:rPr>
      <w:sz w:val="24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4"/>
    </w:rPr>
  </w:style>
  <w:style w:type="paragraph" w:styleId="7">
    <w:name w:val="toc 7"/>
    <w:link w:val="70"/>
    <w:uiPriority w:val="39"/>
    <w:pPr>
      <w:ind w:left="1200"/>
    </w:pPr>
    <w:rPr>
      <w:sz w:val="24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4"/>
    </w:rPr>
  </w:style>
  <w:style w:type="character" w:customStyle="1" w:styleId="31">
    <w:name w:val="Заголовок 31"/>
    <w:rPr>
      <w:rFonts w:ascii="XO Thames" w:hAnsi="XO Thames"/>
      <w:b/>
      <w:i/>
      <w:color w:val="000000"/>
      <w:spacing w:val="0"/>
      <w:sz w:val="24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Contents1">
    <w:name w:val="Contents 1"/>
    <w:link w:val="Contents10"/>
    <w:rPr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Footnote">
    <w:name w:val="Footnote"/>
    <w:link w:val="Footnote0"/>
    <w:rPr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a6">
    <w:name w:val="List"/>
    <w:basedOn w:val="a4"/>
    <w:link w:val="a7"/>
  </w:style>
  <w:style w:type="character" w:customStyle="1" w:styleId="a7">
    <w:name w:val="Список Знак"/>
    <w:basedOn w:val="a8"/>
    <w:link w:val="a6"/>
    <w:rPr>
      <w:rFonts w:ascii="XO Thames" w:hAnsi="XO Thames"/>
      <w:color w:val="000000"/>
      <w:spacing w:val="0"/>
      <w:sz w:val="24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XO Thames" w:hAnsi="XO Thames"/>
      <w:color w:val="000000"/>
      <w:spacing w:val="0"/>
      <w:sz w:val="24"/>
    </w:rPr>
  </w:style>
  <w:style w:type="paragraph" w:styleId="32">
    <w:name w:val="toc 3"/>
    <w:link w:val="33"/>
    <w:uiPriority w:val="39"/>
    <w:pPr>
      <w:ind w:left="400"/>
    </w:pPr>
    <w:rPr>
      <w:sz w:val="24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4"/>
    </w:rPr>
  </w:style>
  <w:style w:type="paragraph" w:styleId="ab">
    <w:name w:val="Title"/>
    <w:link w:val="ac"/>
    <w:uiPriority w:val="10"/>
    <w:qFormat/>
    <w:rPr>
      <w:b/>
      <w:sz w:val="52"/>
    </w:rPr>
  </w:style>
  <w:style w:type="character" w:customStyle="1" w:styleId="12">
    <w:name w:val="Название1"/>
    <w:rPr>
      <w:rFonts w:ascii="XO Thames" w:hAnsi="XO Thames"/>
      <w:b/>
      <w:sz w:val="5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HeaderandFooter">
    <w:name w:val="Header and Footer"/>
    <w:link w:val="HeaderandFooter0"/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Internetlink">
    <w:name w:val="Internet link"/>
    <w:link w:val="Internetlink0"/>
    <w:rPr>
      <w:color w:val="0000FF"/>
      <w:sz w:val="24"/>
      <w:u w:val="single"/>
    </w:rPr>
  </w:style>
  <w:style w:type="character" w:customStyle="1" w:styleId="Internetlink0">
    <w:name w:val="Internet link"/>
    <w:link w:val="Internetlink"/>
    <w:rPr>
      <w:rFonts w:ascii="XO Thames" w:hAnsi="XO Thames"/>
      <w:color w:val="0000FF"/>
      <w:spacing w:val="0"/>
      <w:sz w:val="24"/>
      <w:u w:val="single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1">
    <w:name w:val="Footnote"/>
    <w:link w:val="Footnote2"/>
    <w:rPr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0"/>
    </w:rPr>
  </w:style>
  <w:style w:type="paragraph" w:styleId="14">
    <w:name w:val="toc 1"/>
    <w:link w:val="15"/>
    <w:uiPriority w:val="39"/>
    <w:rPr>
      <w:b/>
      <w:sz w:val="24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4"/>
    </w:rPr>
  </w:style>
  <w:style w:type="paragraph" w:customStyle="1" w:styleId="HeaderandFooter1">
    <w:name w:val="Header and Footer"/>
    <w:link w:val="HeaderandFooter2"/>
    <w:pPr>
      <w:spacing w:line="360" w:lineRule="auto"/>
    </w:pPr>
  </w:style>
  <w:style w:type="character" w:customStyle="1" w:styleId="HeaderandFooter2">
    <w:name w:val="Header and Footer"/>
    <w:link w:val="HeaderandFooter1"/>
    <w:rPr>
      <w:rFonts w:ascii="XO Thames" w:hAnsi="XO Thames"/>
      <w:color w:val="000000"/>
      <w:spacing w:val="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9">
    <w:name w:val="toc 9"/>
    <w:link w:val="90"/>
    <w:uiPriority w:val="39"/>
    <w:pPr>
      <w:ind w:left="1600"/>
    </w:pPr>
    <w:rPr>
      <w:sz w:val="24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4"/>
    </w:rPr>
  </w:style>
  <w:style w:type="paragraph" w:styleId="8">
    <w:name w:val="toc 8"/>
    <w:link w:val="80"/>
    <w:uiPriority w:val="39"/>
    <w:pPr>
      <w:ind w:left="1400"/>
    </w:pPr>
    <w:rPr>
      <w:sz w:val="24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4"/>
    </w:rPr>
  </w:style>
  <w:style w:type="paragraph" w:styleId="ae">
    <w:name w:val="caption"/>
    <w:basedOn w:val="a"/>
    <w:link w:val="af"/>
    <w:pPr>
      <w:spacing w:before="120" w:after="120"/>
    </w:pPr>
    <w:rPr>
      <w:i/>
    </w:rPr>
  </w:style>
  <w:style w:type="character" w:customStyle="1" w:styleId="af">
    <w:name w:val="Название объекта Знак"/>
    <w:basedOn w:val="1"/>
    <w:link w:val="ae"/>
    <w:rPr>
      <w:rFonts w:ascii="XO Thames" w:hAnsi="XO Thames"/>
      <w:i/>
      <w:color w:val="000000"/>
      <w:spacing w:val="0"/>
      <w:sz w:val="24"/>
    </w:rPr>
  </w:style>
  <w:style w:type="character" w:customStyle="1" w:styleId="410">
    <w:name w:val="Заголовок 41"/>
    <w:rPr>
      <w:rFonts w:ascii="XO Thames" w:hAnsi="XO Thames"/>
      <w:b/>
      <w:color w:val="595959"/>
      <w:sz w:val="26"/>
    </w:rPr>
  </w:style>
  <w:style w:type="paragraph" w:styleId="52">
    <w:name w:val="toc 5"/>
    <w:link w:val="53"/>
    <w:uiPriority w:val="39"/>
    <w:pPr>
      <w:ind w:left="800"/>
    </w:pPr>
    <w:rPr>
      <w:sz w:val="24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4"/>
    </w:rPr>
  </w:style>
  <w:style w:type="paragraph" w:styleId="af0">
    <w:name w:val="Subtitle"/>
    <w:link w:val="af1"/>
    <w:uiPriority w:val="11"/>
    <w:qFormat/>
    <w:rPr>
      <w:i/>
      <w:color w:val="616161"/>
      <w:sz w:val="24"/>
    </w:rPr>
  </w:style>
  <w:style w:type="character" w:customStyle="1" w:styleId="16">
    <w:name w:val="Подзаголовок1"/>
    <w:rPr>
      <w:rFonts w:ascii="XO Thames" w:hAnsi="XO Thames"/>
      <w:i/>
      <w:color w:val="616161"/>
      <w:sz w:val="24"/>
    </w:rPr>
  </w:style>
  <w:style w:type="character" w:customStyle="1" w:styleId="210">
    <w:name w:val="Заголовок 21"/>
    <w:rPr>
      <w:rFonts w:ascii="XO Thames" w:hAnsi="XO Thames"/>
      <w:b/>
      <w:color w:val="00A0FF"/>
      <w:sz w:val="26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XO Thames" w:hAnsi="XO Thames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ac">
    <w:name w:val="Название Знак"/>
    <w:link w:val="ab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styleId="a4">
    <w:name w:val="Body Text"/>
    <w:basedOn w:val="a"/>
    <w:link w:val="a8"/>
    <w:pPr>
      <w:spacing w:after="140"/>
    </w:pPr>
  </w:style>
  <w:style w:type="character" w:customStyle="1" w:styleId="a8">
    <w:name w:val="Основной текст Знак"/>
    <w:basedOn w:val="1"/>
    <w:link w:val="a4"/>
    <w:rPr>
      <w:rFonts w:ascii="XO Thames" w:hAnsi="XO Thames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caica.ru/common/AirClassGDE/validaip4/html/ru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ica.ru/common/AirClassABV/validaip2/html/rus.htm;" TargetMode="External"/><Relationship Id="rId5" Type="http://schemas.openxmlformats.org/officeDocument/2006/relationships/hyperlink" Target="http://www.caica.ru/common/Airlnter/validaip/html/rus.htm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2020-09-23T12:31:00Z</dcterms:created>
  <dcterms:modified xsi:type="dcterms:W3CDTF">2020-09-23T12:31:00Z</dcterms:modified>
</cp:coreProperties>
</file>