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65A" w:rsidRDefault="00DB7817">
      <w:pPr>
        <w:spacing w:line="276" w:lineRule="auto"/>
        <w:jc w:val="center"/>
        <w:rPr>
          <w:sz w:val="28"/>
        </w:rPr>
      </w:pPr>
      <w:r>
        <w:rPr>
          <w:b/>
          <w:sz w:val="28"/>
        </w:rPr>
        <w:t xml:space="preserve">Доклад первого заместителя министра транспорта </w:t>
      </w:r>
    </w:p>
    <w:p w:rsidR="00E4565A" w:rsidRDefault="00DB7817">
      <w:pPr>
        <w:spacing w:line="276" w:lineRule="auto"/>
        <w:jc w:val="center"/>
        <w:rPr>
          <w:sz w:val="28"/>
        </w:rPr>
      </w:pPr>
      <w:r>
        <w:rPr>
          <w:b/>
          <w:sz w:val="28"/>
        </w:rPr>
        <w:t xml:space="preserve">Иннокентия </w:t>
      </w:r>
      <w:proofErr w:type="spellStart"/>
      <w:r>
        <w:rPr>
          <w:b/>
          <w:sz w:val="28"/>
        </w:rPr>
        <w:t>Алафинова</w:t>
      </w:r>
      <w:proofErr w:type="spellEnd"/>
    </w:p>
    <w:p w:rsidR="00E4565A" w:rsidRDefault="00DB7817">
      <w:pPr>
        <w:spacing w:line="276" w:lineRule="auto"/>
        <w:jc w:val="center"/>
        <w:rPr>
          <w:sz w:val="28"/>
        </w:rPr>
      </w:pPr>
      <w:r>
        <w:rPr>
          <w:b/>
          <w:sz w:val="28"/>
        </w:rPr>
        <w:t xml:space="preserve">на итоговом заседании коллегии Минтранса России </w:t>
      </w:r>
    </w:p>
    <w:p w:rsidR="00E4565A" w:rsidRDefault="00E4565A">
      <w:pPr>
        <w:spacing w:line="276" w:lineRule="auto"/>
        <w:jc w:val="center"/>
        <w:rPr>
          <w:sz w:val="28"/>
        </w:rPr>
      </w:pPr>
    </w:p>
    <w:p w:rsidR="00E4565A" w:rsidRDefault="00DB7817" w:rsidP="00400FB6">
      <w:pPr>
        <w:spacing w:line="276" w:lineRule="auto"/>
        <w:jc w:val="center"/>
        <w:rPr>
          <w:i/>
          <w:sz w:val="28"/>
        </w:rPr>
      </w:pPr>
      <w:r>
        <w:rPr>
          <w:i/>
          <w:sz w:val="28"/>
        </w:rPr>
        <w:t xml:space="preserve">Вопрос 2. «О переформатировании национального проекта «Транспортная часть комплексного плана модернизации </w:t>
      </w:r>
      <w:r>
        <w:rPr>
          <w:i/>
          <w:sz w:val="28"/>
        </w:rPr>
        <w:t xml:space="preserve">и расширения магистральной </w:t>
      </w:r>
      <w:r>
        <w:rPr>
          <w:i/>
          <w:sz w:val="28"/>
        </w:rPr>
        <w:t>инфраструктуры</w:t>
      </w:r>
    </w:p>
    <w:p w:rsidR="00E4565A" w:rsidRDefault="00DB7817">
      <w:pPr>
        <w:spacing w:line="276" w:lineRule="auto"/>
        <w:jc w:val="center"/>
        <w:rPr>
          <w:i/>
          <w:sz w:val="28"/>
        </w:rPr>
      </w:pPr>
      <w:r>
        <w:rPr>
          <w:i/>
          <w:sz w:val="28"/>
        </w:rPr>
        <w:t>на период до 2024 года»</w:t>
      </w:r>
    </w:p>
    <w:p w:rsidR="00E4565A" w:rsidRDefault="00E4565A">
      <w:pPr>
        <w:spacing w:line="276" w:lineRule="auto"/>
        <w:jc w:val="center"/>
        <w:rPr>
          <w:sz w:val="28"/>
        </w:rPr>
      </w:pPr>
    </w:p>
    <w:p w:rsidR="00E4565A" w:rsidRDefault="00E4565A">
      <w:pPr>
        <w:spacing w:line="276" w:lineRule="auto"/>
        <w:jc w:val="center"/>
        <w:rPr>
          <w:sz w:val="28"/>
        </w:rPr>
      </w:pPr>
    </w:p>
    <w:p w:rsidR="00E4565A" w:rsidRDefault="00DB7817">
      <w:pPr>
        <w:spacing w:line="276" w:lineRule="auto"/>
        <w:jc w:val="center"/>
        <w:rPr>
          <w:sz w:val="28"/>
        </w:rPr>
      </w:pPr>
      <w:r>
        <w:rPr>
          <w:sz w:val="28"/>
        </w:rPr>
        <w:t>Уважаемые коллеги!</w:t>
      </w:r>
    </w:p>
    <w:p w:rsidR="00E4565A" w:rsidRDefault="00E4565A">
      <w:pPr>
        <w:spacing w:line="276" w:lineRule="auto"/>
        <w:ind w:firstLine="709"/>
        <w:rPr>
          <w:b/>
          <w:i/>
          <w:sz w:val="28"/>
          <w:u w:val="single"/>
        </w:rPr>
      </w:pPr>
    </w:p>
    <w:p w:rsidR="00E4565A" w:rsidRDefault="00DB7817">
      <w:pPr>
        <w:tabs>
          <w:tab w:val="left" w:pos="1140"/>
        </w:tabs>
        <w:spacing w:line="276" w:lineRule="auto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В июле текущего года Президентом Российской Федерации поставлена масштабная задача по переосмыслению реализуемых нами национальных проектов, среди которых одним из крупнейших и капиталоемких явля</w:t>
      </w:r>
      <w:r>
        <w:rPr>
          <w:sz w:val="28"/>
          <w:highlight w:val="white"/>
        </w:rPr>
        <w:t>ется транспортная часть комплексного плана.</w:t>
      </w:r>
    </w:p>
    <w:p w:rsidR="00E4565A" w:rsidRDefault="00DB7817">
      <w:pPr>
        <w:tabs>
          <w:tab w:val="left" w:pos="1140"/>
        </w:tabs>
        <w:spacing w:line="276" w:lineRule="auto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На сегодняшний день определен состав объектов каждого федерального проекта до 2030 года, сформированы их паспорта в «Электронном бюджете».</w:t>
      </w:r>
    </w:p>
    <w:p w:rsidR="00E4565A" w:rsidRDefault="00DB7817">
      <w:pPr>
        <w:tabs>
          <w:tab w:val="left" w:pos="1140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  <w:highlight w:val="white"/>
        </w:rPr>
        <w:t>Отмечу следующие основные структурные изменения.</w:t>
      </w:r>
    </w:p>
    <w:p w:rsidR="00E4565A" w:rsidRDefault="00DB7817">
      <w:pPr>
        <w:tabs>
          <w:tab w:val="left" w:pos="1140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  <w:highlight w:val="white"/>
        </w:rPr>
        <w:t>Во-первых, федеральный п</w:t>
      </w:r>
      <w:r>
        <w:rPr>
          <w:sz w:val="28"/>
          <w:highlight w:val="white"/>
        </w:rPr>
        <w:t>роект «Железнодорожный транспорт и транзит» разделен на три проекта: это «Развитие Восточного полигона железных дорог», «Развитие железнодорожных подходов к морским портам Северо-Западного бассейна» и «Развитие железнодорожных подходов к морским портам Азо</w:t>
      </w:r>
      <w:r>
        <w:rPr>
          <w:sz w:val="28"/>
          <w:highlight w:val="white"/>
        </w:rPr>
        <w:t>во-Черноморского бассейна».</w:t>
      </w:r>
    </w:p>
    <w:p w:rsidR="00E4565A" w:rsidRDefault="00DB7817">
      <w:pPr>
        <w:tabs>
          <w:tab w:val="left" w:pos="1140"/>
        </w:tabs>
        <w:spacing w:line="276" w:lineRule="auto"/>
        <w:ind w:firstLine="709"/>
        <w:jc w:val="both"/>
        <w:rPr>
          <w:sz w:val="28"/>
          <w:highlight w:val="white"/>
        </w:rPr>
      </w:pPr>
      <w:r>
        <w:rPr>
          <w:sz w:val="28"/>
        </w:rPr>
        <w:t>Кроме того, из федерального проекта «Коммуникации между центрами экономического роста» выделен отдельный федеральный проект – «Развитие железнодорожной инфраструктуры Центрального транспортного узла».</w:t>
      </w:r>
    </w:p>
    <w:p w:rsidR="00E4565A" w:rsidRDefault="00DB7817">
      <w:pPr>
        <w:tabs>
          <w:tab w:val="left" w:pos="1140"/>
        </w:tabs>
        <w:spacing w:line="276" w:lineRule="auto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Во-вторых, автодорожная час</w:t>
      </w:r>
      <w:r>
        <w:rPr>
          <w:sz w:val="28"/>
          <w:highlight w:val="white"/>
        </w:rPr>
        <w:t>ть федеральных проектов КЦЭР и «Морские порты России» переносится в национальный проект БКАД.</w:t>
      </w:r>
    </w:p>
    <w:p w:rsidR="00E4565A" w:rsidRDefault="00DB7817">
      <w:pPr>
        <w:tabs>
          <w:tab w:val="left" w:pos="1140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  <w:highlight w:val="white"/>
        </w:rPr>
        <w:t>В-третьих, исключаются федеральные проекты КЦЭР, «Внутренние водные пути» и «Транспортно-логистические центры».</w:t>
      </w:r>
    </w:p>
    <w:p w:rsidR="00E4565A" w:rsidRDefault="00DB7817">
      <w:pPr>
        <w:tabs>
          <w:tab w:val="left" w:pos="1140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  <w:highlight w:val="white"/>
        </w:rPr>
        <w:t>Мероприятия указанных проектов будут реализовывать</w:t>
      </w:r>
      <w:r>
        <w:rPr>
          <w:sz w:val="28"/>
          <w:highlight w:val="white"/>
        </w:rPr>
        <w:t>ся в рамках Госпрограммы, а федеральные автодороги в составе НП БКАД.</w:t>
      </w:r>
    </w:p>
    <w:p w:rsidR="00E4565A" w:rsidRDefault="00DB7817">
      <w:pPr>
        <w:tabs>
          <w:tab w:val="left" w:pos="1140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Минтрансом России готовятся предложения по программе развития глубоководной системы внутренних водных путей, на основании которых будет принято решение о статусе реализации данной програ</w:t>
      </w:r>
      <w:r>
        <w:rPr>
          <w:sz w:val="28"/>
        </w:rPr>
        <w:t>ммы.</w:t>
      </w:r>
    </w:p>
    <w:p w:rsidR="00E4565A" w:rsidRDefault="00DB7817">
      <w:pPr>
        <w:tabs>
          <w:tab w:val="left" w:pos="1140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Финансирование обновленной структуры КПМИ на период 2021 − 2030 годов предполагает составить порядка 6,6 трлн. рублей, в том числе в период 2021 − 2023 годов за счет средств федерального бюджета – 808 млрд. рублей.</w:t>
      </w:r>
    </w:p>
    <w:p w:rsidR="00E4565A" w:rsidRDefault="00DB7817">
      <w:pPr>
        <w:tabs>
          <w:tab w:val="left" w:pos="1140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Здесь хотел бы отметить, что упомяну</w:t>
      </w:r>
      <w:r>
        <w:rPr>
          <w:sz w:val="28"/>
        </w:rPr>
        <w:t>тый перенос автодорог в БКАД, а также секвестр финансирования федеральных проектов на 2021 − 2023 годы, привели к общему снижению бюджета КПМИ.</w:t>
      </w:r>
    </w:p>
    <w:p w:rsidR="00E4565A" w:rsidRDefault="00DB7817">
      <w:pPr>
        <w:tabs>
          <w:tab w:val="left" w:pos="1140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Так, вместо предусмотренных в рамках действующей структуры комплексного плана 5,4 </w:t>
      </w:r>
      <w:proofErr w:type="gramStart"/>
      <w:r>
        <w:rPr>
          <w:sz w:val="28"/>
        </w:rPr>
        <w:t>трлн</w:t>
      </w:r>
      <w:proofErr w:type="gramEnd"/>
      <w:r>
        <w:rPr>
          <w:sz w:val="28"/>
        </w:rPr>
        <w:t xml:space="preserve"> руб. на период с 2021 по </w:t>
      </w:r>
      <w:r>
        <w:rPr>
          <w:sz w:val="28"/>
        </w:rPr>
        <w:t>2024 год, общее финансирование новой редакции составляет 3,8 трлн руб. При этом, доля внебюджетного финансирования выросла с 55 % до 68 %.</w:t>
      </w:r>
    </w:p>
    <w:p w:rsidR="00E4565A" w:rsidRDefault="00DB7817">
      <w:pPr>
        <w:tabs>
          <w:tab w:val="left" w:pos="1140"/>
        </w:tabs>
        <w:spacing w:line="276" w:lineRule="auto"/>
        <w:ind w:firstLine="680"/>
        <w:jc w:val="both"/>
        <w:rPr>
          <w:sz w:val="28"/>
        </w:rPr>
      </w:pPr>
      <w:r>
        <w:rPr>
          <w:sz w:val="28"/>
        </w:rPr>
        <w:t>Кроме того в рамках изменения национального проекта уменьшилось и общее количество целевых показателей до 45.</w:t>
      </w:r>
    </w:p>
    <w:p w:rsidR="00E4565A" w:rsidRPr="00400FB6" w:rsidRDefault="00DB7817" w:rsidP="00400FB6">
      <w:pPr>
        <w:tabs>
          <w:tab w:val="left" w:pos="1140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  <w:highlight w:val="white"/>
        </w:rPr>
        <w:t xml:space="preserve">Теперь </w:t>
      </w:r>
      <w:r>
        <w:rPr>
          <w:sz w:val="28"/>
          <w:highlight w:val="white"/>
        </w:rPr>
        <w:t>предлагаю рассмотреть более детально новую структуру.</w:t>
      </w:r>
      <w:bookmarkStart w:id="0" w:name="_GoBack"/>
      <w:bookmarkEnd w:id="0"/>
    </w:p>
    <w:p w:rsidR="00E4565A" w:rsidRDefault="00DB7817">
      <w:pPr>
        <w:tabs>
          <w:tab w:val="left" w:pos="1140"/>
        </w:tabs>
        <w:spacing w:line="276" w:lineRule="auto"/>
        <w:ind w:firstLine="709"/>
        <w:jc w:val="both"/>
        <w:rPr>
          <w:i/>
          <w:color w:val="808080" w:themeColor="background1" w:themeShade="80"/>
          <w:sz w:val="28"/>
        </w:rPr>
      </w:pPr>
      <w:r>
        <w:rPr>
          <w:sz w:val="28"/>
        </w:rPr>
        <w:t>В рамках федерального проекта «Строительство автомобильных дорог международного транспортного коридора «Европа – Западный Китай» реализуется 10 объектов: 9 этапов строительства автомобильной дороги М-1</w:t>
      </w:r>
      <w:r>
        <w:rPr>
          <w:sz w:val="28"/>
        </w:rPr>
        <w:t>2, включая участок обхода  Балашиха-Ногинск, и строительство обхода г. Тольятти.</w:t>
      </w:r>
    </w:p>
    <w:p w:rsidR="00E4565A" w:rsidRDefault="00DB7817">
      <w:pPr>
        <w:tabs>
          <w:tab w:val="left" w:pos="1140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Полностью коридор должен ввестись в эксплуатацию в 2024 году.</w:t>
      </w:r>
    </w:p>
    <w:p w:rsidR="00E4565A" w:rsidRDefault="00DB7817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Отмечу, что из 9 этапов М-12 уже сейчас законтрактованы 8 этапов на принципах проектирование плюс строительство, </w:t>
      </w:r>
      <w:r>
        <w:rPr>
          <w:sz w:val="28"/>
        </w:rPr>
        <w:t xml:space="preserve">так сказать, первые крупные ласточки ЕРС контрактов в автодорожном строительстве. </w:t>
      </w:r>
    </w:p>
    <w:p w:rsidR="00E4565A" w:rsidRDefault="00DB7817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Продолжается активная реализация обхода г. Тольятти, концессионером пройдена </w:t>
      </w:r>
      <w:proofErr w:type="spellStart"/>
      <w:r>
        <w:rPr>
          <w:sz w:val="28"/>
        </w:rPr>
        <w:t>Главгосэкспертиза</w:t>
      </w:r>
      <w:proofErr w:type="spellEnd"/>
      <w:r>
        <w:rPr>
          <w:sz w:val="28"/>
        </w:rPr>
        <w:t xml:space="preserve"> на внеклассный мостовой переход через Волгу, идет подготовка территории строит</w:t>
      </w:r>
      <w:r>
        <w:rPr>
          <w:sz w:val="28"/>
        </w:rPr>
        <w:t>ельства.</w:t>
      </w:r>
    </w:p>
    <w:p w:rsidR="00E4565A" w:rsidRDefault="00DB7817">
      <w:pPr>
        <w:tabs>
          <w:tab w:val="left" w:pos="1140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Общее финансирование этого федерального проекта составит 705 </w:t>
      </w:r>
      <w:proofErr w:type="gramStart"/>
      <w:r>
        <w:rPr>
          <w:sz w:val="28"/>
        </w:rPr>
        <w:t>млрд</w:t>
      </w:r>
      <w:proofErr w:type="gramEnd"/>
      <w:r>
        <w:rPr>
          <w:sz w:val="28"/>
        </w:rPr>
        <w:t xml:space="preserve"> руб., в том числе 332 млрд руб. в 2021 − 2023 годах за счет средств федерального бюджета.</w:t>
      </w:r>
    </w:p>
    <w:p w:rsidR="00E4565A" w:rsidRDefault="00DB7817">
      <w:pPr>
        <w:tabs>
          <w:tab w:val="left" w:pos="1140"/>
        </w:tabs>
        <w:spacing w:line="276" w:lineRule="auto"/>
        <w:ind w:firstLine="709"/>
        <w:jc w:val="both"/>
        <w:rPr>
          <w:spacing w:val="3"/>
          <w:sz w:val="28"/>
        </w:rPr>
      </w:pPr>
      <w:r>
        <w:rPr>
          <w:spacing w:val="3"/>
          <w:sz w:val="28"/>
        </w:rPr>
        <w:t>Федеральным проектом «Развитие морских портов» планируется реализация 51 объекта, которые д</w:t>
      </w:r>
      <w:r>
        <w:rPr>
          <w:spacing w:val="3"/>
          <w:sz w:val="28"/>
        </w:rPr>
        <w:t>олжны обеспечат развитие транзитного потенциала страны, повышению экспорта углеводородного сырья и продукции АПК.</w:t>
      </w:r>
    </w:p>
    <w:p w:rsidR="00E4565A" w:rsidRDefault="00DB7817">
      <w:pPr>
        <w:tabs>
          <w:tab w:val="left" w:pos="1140"/>
        </w:tabs>
        <w:spacing w:line="276" w:lineRule="auto"/>
        <w:ind w:firstLine="709"/>
        <w:jc w:val="both"/>
        <w:rPr>
          <w:spacing w:val="3"/>
          <w:sz w:val="28"/>
        </w:rPr>
      </w:pPr>
      <w:r>
        <w:rPr>
          <w:spacing w:val="3"/>
          <w:sz w:val="28"/>
        </w:rPr>
        <w:t xml:space="preserve">Проведена инвентаризация ранее предусмотренных проектом мероприятий, по результатам которой были исключены 6 объектов в связи с неготовностью </w:t>
      </w:r>
      <w:r>
        <w:rPr>
          <w:spacing w:val="3"/>
          <w:sz w:val="28"/>
        </w:rPr>
        <w:t>инвесторов на их дальнейшую реализацию. При этом проект был дополнен еще 15-ю новыми объектами.</w:t>
      </w:r>
    </w:p>
    <w:p w:rsidR="00E4565A" w:rsidRDefault="00DB7817">
      <w:pPr>
        <w:tabs>
          <w:tab w:val="left" w:pos="1140"/>
        </w:tabs>
        <w:spacing w:line="276" w:lineRule="auto"/>
        <w:ind w:firstLine="709"/>
        <w:jc w:val="both"/>
        <w:rPr>
          <w:i/>
          <w:color w:val="808080" w:themeColor="background1" w:themeShade="80"/>
          <w:sz w:val="28"/>
        </w:rPr>
      </w:pPr>
      <w:r>
        <w:rPr>
          <w:spacing w:val="3"/>
          <w:sz w:val="28"/>
        </w:rPr>
        <w:t xml:space="preserve">Финансовое обеспечение проекта на период до </w:t>
      </w:r>
      <w:r>
        <w:rPr>
          <w:sz w:val="28"/>
        </w:rPr>
        <w:t xml:space="preserve">2030 года составляет более 620 </w:t>
      </w:r>
      <w:proofErr w:type="gramStart"/>
      <w:r>
        <w:rPr>
          <w:sz w:val="28"/>
        </w:rPr>
        <w:t>млрд</w:t>
      </w:r>
      <w:proofErr w:type="gramEnd"/>
      <w:r>
        <w:rPr>
          <w:sz w:val="28"/>
        </w:rPr>
        <w:t xml:space="preserve"> руб., в том числе практически 60 млрд руб. в 2021 − 2023 годах за счет средств ф</w:t>
      </w:r>
      <w:r>
        <w:rPr>
          <w:sz w:val="28"/>
        </w:rPr>
        <w:t>едерального бюджета.</w:t>
      </w:r>
    </w:p>
    <w:p w:rsidR="00E4565A" w:rsidRDefault="00DB7817">
      <w:pPr>
        <w:tabs>
          <w:tab w:val="left" w:pos="1140"/>
        </w:tabs>
        <w:spacing w:line="276" w:lineRule="auto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>Говоря об этом федеральном проекте, хотел бы затронуть тему частных инвесторов.</w:t>
      </w:r>
    </w:p>
    <w:p w:rsidR="00E4565A" w:rsidRDefault="00DB7817">
      <w:pPr>
        <w:tabs>
          <w:tab w:val="left" w:pos="1140"/>
        </w:tabs>
        <w:spacing w:line="276" w:lineRule="auto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В целях повышения их ответственности за невыполнение своих обязательств в рамках </w:t>
      </w:r>
      <w:proofErr w:type="spellStart"/>
      <w:r>
        <w:rPr>
          <w:spacing w:val="-2"/>
          <w:sz w:val="28"/>
        </w:rPr>
        <w:t>инвестпроектов</w:t>
      </w:r>
      <w:proofErr w:type="spellEnd"/>
      <w:r>
        <w:rPr>
          <w:spacing w:val="-2"/>
          <w:sz w:val="28"/>
        </w:rPr>
        <w:t xml:space="preserve"> Минтрансом России разработан проект федерального закона о </w:t>
      </w:r>
      <w:r>
        <w:rPr>
          <w:spacing w:val="-2"/>
          <w:sz w:val="28"/>
        </w:rPr>
        <w:t>внесении изменений в Федеральный закон «О морских портах», которым предусмотрена необходимость заключения с инвесторами обязывающих соглашений, предусматривающих соблюдение ими графика и объема инвестиций, а также ответственность за неисполнение.</w:t>
      </w:r>
    </w:p>
    <w:p w:rsidR="00E4565A" w:rsidRDefault="00DB7817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Федеральн</w:t>
      </w:r>
      <w:r>
        <w:rPr>
          <w:sz w:val="28"/>
        </w:rPr>
        <w:t>ый проект «Развитие Северного морского пути», направлен на развитие инфраструктуры и увеличение пропускной способности грузовых морских портов в акватории Северного морского пути.</w:t>
      </w:r>
    </w:p>
    <w:p w:rsidR="00E4565A" w:rsidRDefault="00DB7817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Проектом планируется реализация 27 объектов с общим финансированием 2030 год</w:t>
      </w:r>
      <w:r>
        <w:rPr>
          <w:sz w:val="28"/>
        </w:rPr>
        <w:t xml:space="preserve">а в объеме практически 270 </w:t>
      </w:r>
      <w:proofErr w:type="gramStart"/>
      <w:r>
        <w:rPr>
          <w:sz w:val="28"/>
        </w:rPr>
        <w:t>млрд</w:t>
      </w:r>
      <w:proofErr w:type="gramEnd"/>
      <w:r>
        <w:rPr>
          <w:sz w:val="28"/>
        </w:rPr>
        <w:t xml:space="preserve"> руб., </w:t>
      </w:r>
      <w:r>
        <w:rPr>
          <w:sz w:val="28"/>
        </w:rPr>
        <w:t>в том числе практически 143 млрд руб. в 2021 − 2023 годах за счет средств федерального бюджета</w:t>
      </w:r>
      <w:r>
        <w:rPr>
          <w:i/>
          <w:sz w:val="28"/>
        </w:rPr>
        <w:t>.</w:t>
      </w:r>
    </w:p>
    <w:p w:rsidR="00E4565A" w:rsidRDefault="00DB7817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Перейду к железнодорожному блоку.</w:t>
      </w:r>
    </w:p>
    <w:p w:rsidR="00E4565A" w:rsidRDefault="00DB7817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Федеральным проектом «Развитие железнодорожной инфраструктуры Центрального транспортного</w:t>
      </w:r>
      <w:r>
        <w:rPr>
          <w:sz w:val="28"/>
        </w:rPr>
        <w:t xml:space="preserve"> узла» планируется реализация </w:t>
      </w:r>
      <w:r>
        <w:rPr>
          <w:sz w:val="28"/>
        </w:rPr>
        <w:t xml:space="preserve">129 объектов. </w:t>
      </w:r>
    </w:p>
    <w:p w:rsidR="00E4565A" w:rsidRDefault="00DB7817">
      <w:pPr>
        <w:tabs>
          <w:tab w:val="left" w:pos="1140"/>
        </w:tabs>
        <w:spacing w:line="276" w:lineRule="auto"/>
        <w:ind w:firstLine="709"/>
        <w:jc w:val="both"/>
        <w:rPr>
          <w:sz w:val="28"/>
        </w:rPr>
      </w:pPr>
      <w:r>
        <w:rPr>
          <w:spacing w:val="3"/>
          <w:sz w:val="28"/>
        </w:rPr>
        <w:t>Финансирование проекта обеспечено за счет средств РЖД, Федерального бюджета</w:t>
      </w:r>
      <w:r>
        <w:rPr>
          <w:sz w:val="28"/>
        </w:rPr>
        <w:t xml:space="preserve"> и бюджета Москвы. Напомню, что реализация проекта переведена на качественно новый уровень транспортной услуги пассажирам центральной аг</w:t>
      </w:r>
      <w:r>
        <w:rPr>
          <w:sz w:val="28"/>
        </w:rPr>
        <w:t xml:space="preserve">ломерации, входящей в топ 20 </w:t>
      </w:r>
      <w:proofErr w:type="gramStart"/>
      <w:r>
        <w:rPr>
          <w:sz w:val="28"/>
        </w:rPr>
        <w:t>крупнейших</w:t>
      </w:r>
      <w:proofErr w:type="gramEnd"/>
      <w:r>
        <w:rPr>
          <w:sz w:val="28"/>
        </w:rPr>
        <w:t xml:space="preserve"> агломерация мира.</w:t>
      </w:r>
    </w:p>
    <w:p w:rsidR="00E4565A" w:rsidRDefault="00DB7817">
      <w:pPr>
        <w:tabs>
          <w:tab w:val="left" w:pos="1140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Реализация федерального проекта «Развитие железнодорожных подходов к морским портам Азово-Черноморского бассейна» позволит повысить транспортную доступность и увеличить скорость доставки грузов в мо</w:t>
      </w:r>
      <w:r>
        <w:rPr>
          <w:sz w:val="28"/>
        </w:rPr>
        <w:t xml:space="preserve">рские порты Черноморского побережья. </w:t>
      </w:r>
    </w:p>
    <w:p w:rsidR="00E4565A" w:rsidRDefault="00DB7817">
      <w:pPr>
        <w:tabs>
          <w:tab w:val="left" w:pos="1140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Кроме того, в рамках этого проекта также планируется реализация мероприятий по формированию специализированного пассажирского коридора «Центр – Юг», что после проведения работ только на участке Москва – Горячий ключ со</w:t>
      </w:r>
      <w:r>
        <w:rPr>
          <w:sz w:val="28"/>
        </w:rPr>
        <w:t>кратит к 2028 году усредненное время движения пассажирского поезда до Сочи с 32 до 18 часов, а в Симферополь до 20 часов.</w:t>
      </w:r>
    </w:p>
    <w:p w:rsidR="00E4565A" w:rsidRDefault="00DB7817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Проектом планируется реализация 65 объектов с общим объемом финансированием в 2021 − 2030 годах в объеме более 1,7 </w:t>
      </w:r>
      <w:proofErr w:type="gramStart"/>
      <w:r>
        <w:rPr>
          <w:sz w:val="28"/>
        </w:rPr>
        <w:t>трлн</w:t>
      </w:r>
      <w:proofErr w:type="gramEnd"/>
      <w:r>
        <w:rPr>
          <w:sz w:val="28"/>
        </w:rPr>
        <w:t xml:space="preserve"> руб., преимуще</w:t>
      </w:r>
      <w:r>
        <w:rPr>
          <w:sz w:val="28"/>
        </w:rPr>
        <w:t>ственно за счет средств ОАО «РЖД».</w:t>
      </w:r>
    </w:p>
    <w:p w:rsidR="00E4565A" w:rsidRDefault="00DB7817">
      <w:pPr>
        <w:spacing w:line="276" w:lineRule="auto"/>
        <w:ind w:firstLine="709"/>
        <w:jc w:val="both"/>
        <w:rPr>
          <w:spacing w:val="3"/>
          <w:sz w:val="28"/>
        </w:rPr>
      </w:pPr>
      <w:r>
        <w:rPr>
          <w:sz w:val="28"/>
        </w:rPr>
        <w:t xml:space="preserve">Федеральный проект «Развитие железнодорожных подходов к морским портам Северо-Западного бассейна» </w:t>
      </w:r>
      <w:r>
        <w:rPr>
          <w:spacing w:val="3"/>
          <w:sz w:val="28"/>
        </w:rPr>
        <w:t xml:space="preserve">предусматривает реализацию 180 объектов с объемом финансирования до </w:t>
      </w:r>
      <w:r>
        <w:rPr>
          <w:sz w:val="28"/>
        </w:rPr>
        <w:t xml:space="preserve">2030 года − более 350 </w:t>
      </w:r>
      <w:proofErr w:type="gramStart"/>
      <w:r>
        <w:rPr>
          <w:sz w:val="28"/>
        </w:rPr>
        <w:t>млрд</w:t>
      </w:r>
      <w:proofErr w:type="gramEnd"/>
      <w:r>
        <w:rPr>
          <w:sz w:val="28"/>
        </w:rPr>
        <w:t xml:space="preserve"> руб.</w:t>
      </w:r>
    </w:p>
    <w:p w:rsidR="00E4565A" w:rsidRDefault="00DB7817">
      <w:pPr>
        <w:tabs>
          <w:tab w:val="left" w:pos="1140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Как и АЧБ, федеральный </w:t>
      </w:r>
      <w:r>
        <w:rPr>
          <w:sz w:val="28"/>
        </w:rPr>
        <w:t>проект реализуется практически на 100 % за счет внебюджетных источников.</w:t>
      </w:r>
    </w:p>
    <w:p w:rsidR="00E4565A" w:rsidRDefault="00DB7817">
      <w:pPr>
        <w:tabs>
          <w:tab w:val="left" w:pos="1140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Федеральный проект «Развитие железнодорожной инфраструктуры Восточного полигона железных дорог» предусматривает ввод более 500 объектов на период до 2024 года с финансовым обеспечение</w:t>
      </w:r>
      <w:r>
        <w:rPr>
          <w:sz w:val="28"/>
        </w:rPr>
        <w:t xml:space="preserve">м на период реализации в объеме 685 </w:t>
      </w:r>
      <w:proofErr w:type="gramStart"/>
      <w:r>
        <w:rPr>
          <w:sz w:val="28"/>
        </w:rPr>
        <w:t>млрд</w:t>
      </w:r>
      <w:proofErr w:type="gramEnd"/>
      <w:r>
        <w:rPr>
          <w:sz w:val="28"/>
        </w:rPr>
        <w:t xml:space="preserve"> руб.</w:t>
      </w:r>
    </w:p>
    <w:p w:rsidR="00E4565A" w:rsidRDefault="00DB7817">
      <w:pPr>
        <w:tabs>
          <w:tab w:val="left" w:pos="1140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Отмечу, что проектом паспорта также предусмотрены мероприятия по электрификации Восточного полигона, реализуемые в рамках компетенции Минэнерго России.</w:t>
      </w:r>
    </w:p>
    <w:p w:rsidR="00E4565A" w:rsidRDefault="00DB7817">
      <w:pPr>
        <w:tabs>
          <w:tab w:val="left" w:pos="1140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рамках федерального проекта</w:t>
      </w:r>
      <w:r>
        <w:rPr>
          <w:sz w:val="28"/>
        </w:rPr>
        <w:t xml:space="preserve"> «Развитие высокоскоростных железнодорожных магистралей» по итогам 2027 года планируется завершение строительства магистрали Санкт-Петербург – Москва протяженностью 630 км. </w:t>
      </w:r>
    </w:p>
    <w:p w:rsidR="00E4565A" w:rsidRDefault="00DB7817">
      <w:pPr>
        <w:tabs>
          <w:tab w:val="left" w:pos="1140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Финансирование проекта на период реализации предусматривает как бюджетные, так и в</w:t>
      </w:r>
      <w:r>
        <w:rPr>
          <w:sz w:val="28"/>
        </w:rPr>
        <w:t xml:space="preserve">небюджетные средства порядка 1,4 </w:t>
      </w:r>
      <w:proofErr w:type="gramStart"/>
      <w:r>
        <w:rPr>
          <w:sz w:val="28"/>
        </w:rPr>
        <w:t>трлн</w:t>
      </w:r>
      <w:proofErr w:type="gramEnd"/>
      <w:r>
        <w:rPr>
          <w:sz w:val="28"/>
        </w:rPr>
        <w:t xml:space="preserve"> руб.</w:t>
      </w:r>
    </w:p>
    <w:p w:rsidR="00E4565A" w:rsidRDefault="00DB7817">
      <w:pPr>
        <w:tabs>
          <w:tab w:val="left" w:pos="1140"/>
        </w:tabs>
        <w:spacing w:line="276" w:lineRule="auto"/>
        <w:ind w:firstLine="709"/>
        <w:jc w:val="both"/>
        <w:rPr>
          <w:i/>
          <w:sz w:val="28"/>
          <w:u w:val="single"/>
        </w:rPr>
      </w:pPr>
      <w:r>
        <w:rPr>
          <w:sz w:val="28"/>
        </w:rPr>
        <w:t xml:space="preserve">Реализации данного проекта </w:t>
      </w:r>
      <w:proofErr w:type="gramStart"/>
      <w:r>
        <w:rPr>
          <w:sz w:val="28"/>
        </w:rPr>
        <w:t>направлена</w:t>
      </w:r>
      <w:proofErr w:type="gramEnd"/>
      <w:r>
        <w:rPr>
          <w:sz w:val="28"/>
        </w:rPr>
        <w:t xml:space="preserve"> не только на ускорение пассажирского движения, внедрение новых технологий, в том числе в российском машиностроении, но </w:t>
      </w:r>
      <w:r>
        <w:rPr>
          <w:sz w:val="28"/>
        </w:rPr>
        <w:lastRenderedPageBreak/>
        <w:t>на освобождения путей на этом участке для возможности ув</w:t>
      </w:r>
      <w:r>
        <w:rPr>
          <w:sz w:val="28"/>
        </w:rPr>
        <w:t>еличения и ускорения грузового движения.</w:t>
      </w:r>
    </w:p>
    <w:p w:rsidR="00E4565A" w:rsidRDefault="00DB7817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Проектом паспорта обновленного федерального проекта «Развитие региональных аэропортов» предусмотрена до 2030 года реализация реконструкции или строительства 117 объектов аэропортовой инфраструктуры</w:t>
      </w:r>
      <w:r>
        <w:rPr>
          <w:sz w:val="28"/>
        </w:rPr>
        <w:t>.</w:t>
      </w:r>
    </w:p>
    <w:p w:rsidR="00E4565A" w:rsidRDefault="00DB7817">
      <w:pPr>
        <w:tabs>
          <w:tab w:val="left" w:pos="1140"/>
        </w:tabs>
        <w:spacing w:line="276" w:lineRule="auto"/>
        <w:ind w:firstLine="709"/>
        <w:jc w:val="both"/>
        <w:rPr>
          <w:sz w:val="28"/>
        </w:rPr>
      </w:pPr>
      <w:r>
        <w:rPr>
          <w:spacing w:val="3"/>
          <w:sz w:val="28"/>
        </w:rPr>
        <w:t>Финансовое обесп</w:t>
      </w:r>
      <w:r>
        <w:rPr>
          <w:spacing w:val="3"/>
          <w:sz w:val="28"/>
        </w:rPr>
        <w:t xml:space="preserve">ечение проекта на период </w:t>
      </w:r>
      <w:r>
        <w:rPr>
          <w:sz w:val="28"/>
        </w:rPr>
        <w:t xml:space="preserve">2021 − 2024 годов составит почти 141 </w:t>
      </w:r>
      <w:proofErr w:type="gramStart"/>
      <w:r>
        <w:rPr>
          <w:sz w:val="28"/>
        </w:rPr>
        <w:t>млрд</w:t>
      </w:r>
      <w:proofErr w:type="gramEnd"/>
      <w:r>
        <w:rPr>
          <w:sz w:val="28"/>
        </w:rPr>
        <w:t xml:space="preserve"> руб., из которых 96 млрд </w:t>
      </w:r>
      <w:proofErr w:type="spellStart"/>
      <w:r>
        <w:rPr>
          <w:sz w:val="28"/>
        </w:rPr>
        <w:t>руб.будут</w:t>
      </w:r>
      <w:proofErr w:type="spellEnd"/>
      <w:r>
        <w:rPr>
          <w:sz w:val="28"/>
        </w:rPr>
        <w:t xml:space="preserve"> направлены на эти цели в 2021 − 2023 годах за счет средств федерального бюджета.</w:t>
      </w:r>
    </w:p>
    <w:p w:rsidR="00E4565A" w:rsidRDefault="00DB7817">
      <w:pPr>
        <w:tabs>
          <w:tab w:val="left" w:pos="1140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При этом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из федерального проекта перегружены в Госпрограмму расходы на с</w:t>
      </w:r>
      <w:r>
        <w:rPr>
          <w:sz w:val="28"/>
        </w:rPr>
        <w:t>убсидирование перевозок пассажиров.</w:t>
      </w:r>
    </w:p>
    <w:p w:rsidR="00E4565A" w:rsidRDefault="00DB7817">
      <w:pPr>
        <w:tabs>
          <w:tab w:val="left" w:pos="1140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Для осуществления контроля 100% объектов комплексного плана занесены в систему «Эталон» уже сегодня. Я бы попросил всех кураторов федеральных проектов активно пользоваться этой системой, </w:t>
      </w:r>
      <w:proofErr w:type="gramStart"/>
      <w:r>
        <w:rPr>
          <w:sz w:val="28"/>
        </w:rPr>
        <w:t>что</w:t>
      </w:r>
      <w:proofErr w:type="gramEnd"/>
      <w:r>
        <w:rPr>
          <w:sz w:val="28"/>
        </w:rPr>
        <w:t xml:space="preserve"> несомненно придаст дополнител</w:t>
      </w:r>
      <w:r>
        <w:rPr>
          <w:sz w:val="28"/>
        </w:rPr>
        <w:t>ьны импульс по актуализации данных. От объема и качества заполненной информации в этой системе зависит количество вопросов к нашей работе.</w:t>
      </w:r>
    </w:p>
    <w:p w:rsidR="00E4565A" w:rsidRDefault="00DB7817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Хотел бы резюмировать, что министерство, подведомственные агентства и служба, общества с </w:t>
      </w:r>
      <w:proofErr w:type="spellStart"/>
      <w:r>
        <w:rPr>
          <w:sz w:val="28"/>
        </w:rPr>
        <w:t>госучастием</w:t>
      </w:r>
      <w:proofErr w:type="spellEnd"/>
      <w:r>
        <w:rPr>
          <w:sz w:val="28"/>
        </w:rPr>
        <w:t xml:space="preserve"> не только прилож</w:t>
      </w:r>
      <w:r>
        <w:rPr>
          <w:sz w:val="28"/>
        </w:rPr>
        <w:t>ат 100 % сил и средств на реализацию всех задач КПМИ, но и готовы при соответствующей бюджетной политике раньше реализовывать проекты развития инфраструктуры, уходящие за параметр 2030 года.</w:t>
      </w:r>
    </w:p>
    <w:p w:rsidR="00E4565A" w:rsidRDefault="00E4565A">
      <w:pPr>
        <w:spacing w:line="276" w:lineRule="auto"/>
        <w:ind w:firstLine="709"/>
        <w:jc w:val="both"/>
        <w:rPr>
          <w:sz w:val="28"/>
        </w:rPr>
      </w:pPr>
    </w:p>
    <w:p w:rsidR="00E4565A" w:rsidRDefault="00DB7817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Спасибо за внимание.</w:t>
      </w:r>
    </w:p>
    <w:sectPr w:rsidR="00E4565A">
      <w:headerReference w:type="default" r:id="rId7"/>
      <w:headerReference w:type="first" r:id="rId8"/>
      <w:pgSz w:w="11906" w:h="16838"/>
      <w:pgMar w:top="993" w:right="567" w:bottom="567" w:left="567" w:header="51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817" w:rsidRDefault="00DB7817">
      <w:r>
        <w:separator/>
      </w:r>
    </w:p>
  </w:endnote>
  <w:endnote w:type="continuationSeparator" w:id="0">
    <w:p w:rsidR="00DB7817" w:rsidRDefault="00DB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817" w:rsidRDefault="00DB7817">
      <w:r>
        <w:separator/>
      </w:r>
    </w:p>
  </w:footnote>
  <w:footnote w:type="continuationSeparator" w:id="0">
    <w:p w:rsidR="00DB7817" w:rsidRDefault="00DB78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65A" w:rsidRDefault="00DB7817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400FB6">
      <w:fldChar w:fldCharType="separate"/>
    </w:r>
    <w:r w:rsidR="00400FB6">
      <w:rPr>
        <w:noProof/>
      </w:rPr>
      <w:t>2</w:t>
    </w:r>
    <w:r>
      <w:fldChar w:fldCharType="end"/>
    </w:r>
  </w:p>
  <w:p w:rsidR="00E4565A" w:rsidRDefault="00E4565A">
    <w:pPr>
      <w:pStyle w:val="a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65A" w:rsidRDefault="00E4565A">
    <w:pPr>
      <w:pStyle w:val="a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565A"/>
    <w:rsid w:val="00400FB6"/>
    <w:rsid w:val="00DB7817"/>
    <w:rsid w:val="00E4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  <w:sz w:val="24"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  <w:rPr>
      <w:sz w:val="24"/>
    </w:rPr>
  </w:style>
  <w:style w:type="character" w:customStyle="1" w:styleId="22">
    <w:name w:val="Оглавление 2 Знак"/>
    <w:link w:val="21"/>
    <w:rPr>
      <w:sz w:val="24"/>
    </w:rPr>
  </w:style>
  <w:style w:type="paragraph" w:customStyle="1" w:styleId="ListLabel24">
    <w:name w:val="ListLabel 24"/>
    <w:link w:val="ListLabel240"/>
  </w:style>
  <w:style w:type="character" w:customStyle="1" w:styleId="ListLabel240">
    <w:name w:val="ListLabel 24"/>
    <w:link w:val="ListLabel24"/>
  </w:style>
  <w:style w:type="paragraph" w:customStyle="1" w:styleId="ListLabel21">
    <w:name w:val="ListLabel 21"/>
    <w:link w:val="ListLabel210"/>
  </w:style>
  <w:style w:type="character" w:customStyle="1" w:styleId="ListLabel210">
    <w:name w:val="ListLabel 21"/>
    <w:link w:val="ListLabel21"/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paragraph" w:styleId="41">
    <w:name w:val="toc 4"/>
    <w:link w:val="42"/>
    <w:uiPriority w:val="39"/>
    <w:pPr>
      <w:ind w:left="600"/>
    </w:pPr>
    <w:rPr>
      <w:sz w:val="24"/>
    </w:rPr>
  </w:style>
  <w:style w:type="character" w:customStyle="1" w:styleId="42">
    <w:name w:val="Оглавление 4 Знак"/>
    <w:link w:val="41"/>
    <w:rPr>
      <w:sz w:val="24"/>
    </w:rPr>
  </w:style>
  <w:style w:type="paragraph" w:customStyle="1" w:styleId="410">
    <w:name w:val="Заголовок 41"/>
    <w:link w:val="411"/>
    <w:rPr>
      <w:rFonts w:ascii="XO Thames" w:hAnsi="XO Thames"/>
      <w:b/>
      <w:color w:val="595959"/>
      <w:sz w:val="26"/>
    </w:rPr>
  </w:style>
  <w:style w:type="character" w:customStyle="1" w:styleId="411">
    <w:name w:val="Заголовок 41"/>
    <w:link w:val="410"/>
    <w:rPr>
      <w:rFonts w:ascii="XO Thames" w:hAnsi="XO Thames"/>
      <w:b/>
      <w:color w:val="595959"/>
      <w:sz w:val="26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styleId="6">
    <w:name w:val="toc 6"/>
    <w:link w:val="60"/>
    <w:uiPriority w:val="39"/>
    <w:pPr>
      <w:ind w:left="1000"/>
    </w:pPr>
    <w:rPr>
      <w:sz w:val="24"/>
    </w:rPr>
  </w:style>
  <w:style w:type="character" w:customStyle="1" w:styleId="60">
    <w:name w:val="Оглавление 6 Знак"/>
    <w:link w:val="6"/>
    <w:rPr>
      <w:sz w:val="24"/>
    </w:rPr>
  </w:style>
  <w:style w:type="paragraph" w:customStyle="1" w:styleId="ListLabel25">
    <w:name w:val="ListLabel 25"/>
    <w:link w:val="ListLabel250"/>
  </w:style>
  <w:style w:type="character" w:customStyle="1" w:styleId="ListLabel250">
    <w:name w:val="ListLabel 25"/>
    <w:link w:val="ListLabel25"/>
  </w:style>
  <w:style w:type="paragraph" w:styleId="7">
    <w:name w:val="toc 7"/>
    <w:link w:val="70"/>
    <w:uiPriority w:val="39"/>
    <w:pPr>
      <w:ind w:left="1200"/>
    </w:pPr>
    <w:rPr>
      <w:sz w:val="24"/>
    </w:rPr>
  </w:style>
  <w:style w:type="character" w:customStyle="1" w:styleId="70">
    <w:name w:val="Оглавление 7 Знак"/>
    <w:link w:val="7"/>
    <w:rPr>
      <w:sz w:val="24"/>
    </w:rPr>
  </w:style>
  <w:style w:type="paragraph" w:customStyle="1" w:styleId="ListLabel38">
    <w:name w:val="ListLabel 38"/>
    <w:link w:val="ListLabel380"/>
  </w:style>
  <w:style w:type="character" w:customStyle="1" w:styleId="ListLabel380">
    <w:name w:val="ListLabel 38"/>
    <w:link w:val="ListLabel38"/>
  </w:style>
  <w:style w:type="paragraph" w:customStyle="1" w:styleId="ListLabel53">
    <w:name w:val="ListLabel 53"/>
    <w:link w:val="ListLabel530"/>
  </w:style>
  <w:style w:type="character" w:customStyle="1" w:styleId="ListLabel530">
    <w:name w:val="ListLabel 53"/>
    <w:link w:val="ListLabel53"/>
  </w:style>
  <w:style w:type="paragraph" w:customStyle="1" w:styleId="12">
    <w:name w:val="Название объекта1"/>
    <w:link w:val="13"/>
    <w:rPr>
      <w:i/>
      <w:sz w:val="24"/>
    </w:rPr>
  </w:style>
  <w:style w:type="character" w:customStyle="1" w:styleId="13">
    <w:name w:val="Название объекта1"/>
    <w:link w:val="12"/>
    <w:rPr>
      <w:i/>
      <w:sz w:val="24"/>
    </w:rPr>
  </w:style>
  <w:style w:type="paragraph" w:customStyle="1" w:styleId="ListLabel29">
    <w:name w:val="ListLabel 29"/>
    <w:link w:val="ListLabel290"/>
  </w:style>
  <w:style w:type="character" w:customStyle="1" w:styleId="ListLabel290">
    <w:name w:val="ListLabel 29"/>
    <w:link w:val="ListLabel29"/>
  </w:style>
  <w:style w:type="character" w:customStyle="1" w:styleId="30">
    <w:name w:val="Заголовок 3 Знак"/>
    <w:link w:val="3"/>
    <w:rPr>
      <w:rFonts w:ascii="XO Thames" w:hAnsi="XO Thames"/>
      <w:b/>
      <w:i/>
      <w:sz w:val="24"/>
    </w:rPr>
  </w:style>
  <w:style w:type="paragraph" w:customStyle="1" w:styleId="14">
    <w:name w:val="Подзаголовок1"/>
    <w:link w:val="15"/>
    <w:rPr>
      <w:rFonts w:ascii="XO Thames" w:hAnsi="XO Thames"/>
      <w:i/>
      <w:color w:val="616161"/>
      <w:sz w:val="24"/>
    </w:rPr>
  </w:style>
  <w:style w:type="character" w:customStyle="1" w:styleId="15">
    <w:name w:val="Подзаголовок1"/>
    <w:link w:val="14"/>
    <w:rPr>
      <w:rFonts w:ascii="XO Thames" w:hAnsi="XO Thames"/>
      <w:i/>
      <w:color w:val="616161"/>
      <w:sz w:val="24"/>
    </w:rPr>
  </w:style>
  <w:style w:type="paragraph" w:customStyle="1" w:styleId="ListLabel49">
    <w:name w:val="ListLabel 49"/>
    <w:link w:val="ListLabel490"/>
    <w:rPr>
      <w:sz w:val="36"/>
    </w:rPr>
  </w:style>
  <w:style w:type="character" w:customStyle="1" w:styleId="ListLabel490">
    <w:name w:val="ListLabel 49"/>
    <w:link w:val="ListLabel49"/>
    <w:rPr>
      <w:sz w:val="36"/>
    </w:rPr>
  </w:style>
  <w:style w:type="paragraph" w:styleId="a3">
    <w:name w:val="caption"/>
    <w:basedOn w:val="a"/>
    <w:link w:val="a4"/>
    <w:pPr>
      <w:spacing w:before="120" w:after="120"/>
    </w:pPr>
    <w:rPr>
      <w:i/>
    </w:rPr>
  </w:style>
  <w:style w:type="character" w:customStyle="1" w:styleId="a4">
    <w:name w:val="Название объекта Знак"/>
    <w:basedOn w:val="1"/>
    <w:link w:val="a3"/>
    <w:rPr>
      <w:i/>
      <w:sz w:val="24"/>
    </w:rPr>
  </w:style>
  <w:style w:type="paragraph" w:customStyle="1" w:styleId="110">
    <w:name w:val="Заголовок 11"/>
    <w:link w:val="111"/>
    <w:rPr>
      <w:rFonts w:ascii="XO Thames" w:hAnsi="XO Thames"/>
      <w:b/>
      <w:sz w:val="32"/>
    </w:rPr>
  </w:style>
  <w:style w:type="character" w:customStyle="1" w:styleId="111">
    <w:name w:val="Заголовок 11"/>
    <w:link w:val="110"/>
    <w:rPr>
      <w:rFonts w:ascii="XO Thames" w:hAnsi="XO Thames"/>
      <w:b/>
      <w:sz w:val="32"/>
    </w:rPr>
  </w:style>
  <w:style w:type="paragraph" w:customStyle="1" w:styleId="a5">
    <w:name w:val="Нижний колонтитул Знак"/>
    <w:basedOn w:val="16"/>
    <w:link w:val="a6"/>
    <w:rPr>
      <w:sz w:val="24"/>
    </w:rPr>
  </w:style>
  <w:style w:type="character" w:customStyle="1" w:styleId="a6">
    <w:name w:val="Нижний колонтитул Знак"/>
    <w:basedOn w:val="a0"/>
    <w:link w:val="a5"/>
    <w:rPr>
      <w:sz w:val="24"/>
    </w:rPr>
  </w:style>
  <w:style w:type="paragraph" w:customStyle="1" w:styleId="ListLabel52">
    <w:name w:val="ListLabel 52"/>
    <w:link w:val="ListLabel520"/>
  </w:style>
  <w:style w:type="character" w:customStyle="1" w:styleId="ListLabel520">
    <w:name w:val="ListLabel 52"/>
    <w:link w:val="ListLabel52"/>
  </w:style>
  <w:style w:type="paragraph" w:customStyle="1" w:styleId="ListLabel16">
    <w:name w:val="ListLabel 16"/>
    <w:link w:val="ListLabel160"/>
  </w:style>
  <w:style w:type="character" w:customStyle="1" w:styleId="ListLabel160">
    <w:name w:val="ListLabel 16"/>
    <w:link w:val="ListLabel16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ListLabel55">
    <w:name w:val="ListLabel 55"/>
    <w:link w:val="ListLabel550"/>
  </w:style>
  <w:style w:type="character" w:customStyle="1" w:styleId="ListLabel550">
    <w:name w:val="ListLabel 55"/>
    <w:link w:val="ListLabel55"/>
  </w:style>
  <w:style w:type="paragraph" w:customStyle="1" w:styleId="ListLabel35">
    <w:name w:val="ListLabel 35"/>
    <w:link w:val="ListLabel350"/>
  </w:style>
  <w:style w:type="character" w:customStyle="1" w:styleId="ListLabel350">
    <w:name w:val="ListLabel 35"/>
    <w:link w:val="ListLabel35"/>
  </w:style>
  <w:style w:type="paragraph" w:customStyle="1" w:styleId="a7">
    <w:name w:val="Заголовок"/>
    <w:basedOn w:val="a"/>
    <w:next w:val="a8"/>
    <w:link w:val="a9"/>
    <w:pPr>
      <w:keepNext/>
      <w:spacing w:before="240" w:after="120"/>
    </w:pPr>
    <w:rPr>
      <w:rFonts w:ascii="Arial" w:hAnsi="Arial"/>
      <w:sz w:val="28"/>
    </w:rPr>
  </w:style>
  <w:style w:type="character" w:customStyle="1" w:styleId="a9">
    <w:name w:val="Заголовок"/>
    <w:basedOn w:val="1"/>
    <w:link w:val="a7"/>
    <w:rPr>
      <w:rFonts w:ascii="Arial" w:hAnsi="Arial"/>
      <w:sz w:val="28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</w:style>
  <w:style w:type="paragraph" w:customStyle="1" w:styleId="ListLabel23">
    <w:name w:val="ListLabel 23"/>
    <w:link w:val="ListLabel230"/>
  </w:style>
  <w:style w:type="character" w:customStyle="1" w:styleId="ListLabel230">
    <w:name w:val="ListLabel 23"/>
    <w:link w:val="ListLabel23"/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styleId="aa">
    <w:name w:val="header"/>
    <w:basedOn w:val="a"/>
    <w:link w:val="17"/>
    <w:pPr>
      <w:tabs>
        <w:tab w:val="center" w:pos="5102"/>
        <w:tab w:val="right" w:pos="10205"/>
      </w:tabs>
    </w:pPr>
  </w:style>
  <w:style w:type="character" w:customStyle="1" w:styleId="17">
    <w:name w:val="Верхний колонтитул Знак1"/>
    <w:basedOn w:val="1"/>
    <w:link w:val="aa"/>
    <w:rPr>
      <w:sz w:val="24"/>
    </w:rPr>
  </w:style>
  <w:style w:type="paragraph" w:customStyle="1" w:styleId="31">
    <w:name w:val="Заголовок 31"/>
    <w:link w:val="310"/>
    <w:rPr>
      <w:rFonts w:ascii="XO Thames" w:hAnsi="XO Thames"/>
      <w:b/>
      <w:i/>
    </w:rPr>
  </w:style>
  <w:style w:type="character" w:customStyle="1" w:styleId="310">
    <w:name w:val="Заголовок 31"/>
    <w:link w:val="31"/>
    <w:rPr>
      <w:rFonts w:ascii="XO Thames" w:hAnsi="XO Thames"/>
      <w:b/>
      <w:i/>
      <w:color w:val="000000"/>
    </w:rPr>
  </w:style>
  <w:style w:type="paragraph" w:customStyle="1" w:styleId="ListLabel26">
    <w:name w:val="ListLabel 26"/>
    <w:link w:val="ListLabel260"/>
  </w:style>
  <w:style w:type="character" w:customStyle="1" w:styleId="ListLabel260">
    <w:name w:val="ListLabel 26"/>
    <w:link w:val="ListLabel26"/>
  </w:style>
  <w:style w:type="paragraph" w:customStyle="1" w:styleId="ab">
    <w:name w:val="Верхний колонтитул Знак"/>
    <w:basedOn w:val="16"/>
    <w:link w:val="ac"/>
    <w:rPr>
      <w:sz w:val="24"/>
    </w:rPr>
  </w:style>
  <w:style w:type="character" w:customStyle="1" w:styleId="ac">
    <w:name w:val="Верхний колонтитул Знак"/>
    <w:basedOn w:val="a0"/>
    <w:link w:val="ab"/>
    <w:rPr>
      <w:sz w:val="24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ListLabel36">
    <w:name w:val="ListLabel 36"/>
    <w:link w:val="ListLabel360"/>
  </w:style>
  <w:style w:type="character" w:customStyle="1" w:styleId="ListLabel360">
    <w:name w:val="ListLabel 36"/>
    <w:link w:val="ListLabel36"/>
  </w:style>
  <w:style w:type="paragraph" w:customStyle="1" w:styleId="ListLabel54">
    <w:name w:val="ListLabel 54"/>
    <w:link w:val="ListLabel540"/>
  </w:style>
  <w:style w:type="character" w:customStyle="1" w:styleId="ListLabel540">
    <w:name w:val="ListLabel 54"/>
    <w:link w:val="ListLabel54"/>
  </w:style>
  <w:style w:type="paragraph" w:customStyle="1" w:styleId="ListLabel500">
    <w:name w:val="ListLabel 50"/>
    <w:link w:val="ListLabel501"/>
  </w:style>
  <w:style w:type="character" w:customStyle="1" w:styleId="ListLabel501">
    <w:name w:val="ListLabel 50"/>
    <w:link w:val="ListLabel500"/>
  </w:style>
  <w:style w:type="paragraph" w:styleId="ad">
    <w:name w:val="List"/>
    <w:basedOn w:val="a8"/>
    <w:link w:val="ae"/>
  </w:style>
  <w:style w:type="character" w:customStyle="1" w:styleId="ae">
    <w:name w:val="Список Знак"/>
    <w:basedOn w:val="af"/>
    <w:link w:val="ad"/>
    <w:rPr>
      <w:sz w:val="24"/>
    </w:rPr>
  </w:style>
  <w:style w:type="paragraph" w:customStyle="1" w:styleId="ListLabel46">
    <w:name w:val="ListLabel 46"/>
    <w:link w:val="ListLabel460"/>
  </w:style>
  <w:style w:type="character" w:customStyle="1" w:styleId="ListLabel460">
    <w:name w:val="ListLabel 46"/>
    <w:link w:val="ListLabel46"/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ListLabel41">
    <w:name w:val="ListLabel 41"/>
    <w:link w:val="ListLabel410"/>
  </w:style>
  <w:style w:type="character" w:customStyle="1" w:styleId="ListLabel410">
    <w:name w:val="ListLabel 41"/>
    <w:link w:val="ListLabel41"/>
  </w:style>
  <w:style w:type="paragraph" w:styleId="32">
    <w:name w:val="toc 3"/>
    <w:link w:val="33"/>
    <w:uiPriority w:val="39"/>
    <w:pPr>
      <w:ind w:left="400"/>
    </w:pPr>
    <w:rPr>
      <w:sz w:val="24"/>
    </w:rPr>
  </w:style>
  <w:style w:type="character" w:customStyle="1" w:styleId="33">
    <w:name w:val="Оглавление 3 Знак"/>
    <w:link w:val="32"/>
    <w:rPr>
      <w:sz w:val="24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ListLabel15">
    <w:name w:val="ListLabel 15"/>
    <w:link w:val="ListLabel150"/>
  </w:style>
  <w:style w:type="character" w:customStyle="1" w:styleId="ListLabel150">
    <w:name w:val="ListLabel 15"/>
    <w:link w:val="ListLabel15"/>
  </w:style>
  <w:style w:type="paragraph" w:customStyle="1" w:styleId="ListLabel19">
    <w:name w:val="ListLabel 19"/>
    <w:link w:val="ListLabel190"/>
  </w:style>
  <w:style w:type="character" w:customStyle="1" w:styleId="ListLabel190">
    <w:name w:val="ListLabel 19"/>
    <w:link w:val="ListLabel19"/>
  </w:style>
  <w:style w:type="paragraph" w:customStyle="1" w:styleId="ListLabel11">
    <w:name w:val="ListLabel 11"/>
    <w:link w:val="ListLabel110"/>
  </w:style>
  <w:style w:type="character" w:customStyle="1" w:styleId="ListLabel110">
    <w:name w:val="ListLabel 11"/>
    <w:link w:val="ListLabel11"/>
  </w:style>
  <w:style w:type="paragraph" w:customStyle="1" w:styleId="ListLabel43">
    <w:name w:val="ListLabel 43"/>
    <w:link w:val="ListLabel430"/>
  </w:style>
  <w:style w:type="character" w:customStyle="1" w:styleId="ListLabel430">
    <w:name w:val="ListLabel 43"/>
    <w:link w:val="ListLabel43"/>
  </w:style>
  <w:style w:type="paragraph" w:customStyle="1" w:styleId="ListLabel13">
    <w:name w:val="ListLabel 13"/>
    <w:link w:val="ListLabel130"/>
  </w:style>
  <w:style w:type="character" w:customStyle="1" w:styleId="ListLabel130">
    <w:name w:val="ListLabel 13"/>
    <w:link w:val="ListLabel13"/>
  </w:style>
  <w:style w:type="paragraph" w:customStyle="1" w:styleId="18">
    <w:name w:val="Название1"/>
    <w:link w:val="19"/>
    <w:rPr>
      <w:rFonts w:ascii="XO Thames" w:hAnsi="XO Thames"/>
      <w:b/>
      <w:sz w:val="52"/>
    </w:rPr>
  </w:style>
  <w:style w:type="character" w:customStyle="1" w:styleId="19">
    <w:name w:val="Название1"/>
    <w:link w:val="18"/>
    <w:rPr>
      <w:rFonts w:ascii="XO Thames" w:hAnsi="XO Thames"/>
      <w:b/>
      <w:sz w:val="52"/>
    </w:rPr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</w:style>
  <w:style w:type="paragraph" w:styleId="af0">
    <w:name w:val="Normal (Web)"/>
    <w:basedOn w:val="a"/>
    <w:link w:val="af1"/>
    <w:pPr>
      <w:spacing w:beforeAutospacing="1" w:afterAutospacing="1"/>
    </w:pPr>
  </w:style>
  <w:style w:type="character" w:customStyle="1" w:styleId="af1">
    <w:name w:val="Обычный (веб) Знак"/>
    <w:basedOn w:val="1"/>
    <w:link w:val="af0"/>
    <w:rPr>
      <w:color w:val="000000"/>
      <w:sz w:val="24"/>
    </w:rPr>
  </w:style>
  <w:style w:type="paragraph" w:customStyle="1" w:styleId="Internetlink">
    <w:name w:val="Internet link"/>
    <w:link w:val="Internetlink0"/>
    <w:rPr>
      <w:color w:val="0000FF"/>
      <w:sz w:val="24"/>
      <w:u w:val="single"/>
    </w:rPr>
  </w:style>
  <w:style w:type="character" w:customStyle="1" w:styleId="Internetlink0">
    <w:name w:val="Internet link"/>
    <w:link w:val="Internetlink"/>
    <w:rPr>
      <w:color w:val="0000FF"/>
      <w:sz w:val="24"/>
      <w:u w:val="single"/>
    </w:rPr>
  </w:style>
  <w:style w:type="paragraph" w:styleId="af2">
    <w:name w:val="index heading"/>
    <w:basedOn w:val="a"/>
    <w:link w:val="af3"/>
  </w:style>
  <w:style w:type="character" w:customStyle="1" w:styleId="af3">
    <w:name w:val="Указатель Знак"/>
    <w:basedOn w:val="1"/>
    <w:link w:val="af2"/>
    <w:rPr>
      <w:sz w:val="24"/>
    </w:rPr>
  </w:style>
  <w:style w:type="paragraph" w:customStyle="1" w:styleId="ListLabel20">
    <w:name w:val="ListLabel 20"/>
    <w:link w:val="ListLabel200"/>
  </w:style>
  <w:style w:type="character" w:customStyle="1" w:styleId="ListLabel200">
    <w:name w:val="ListLabel 20"/>
    <w:link w:val="ListLabel20"/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ListLabel48">
    <w:name w:val="ListLabel 48"/>
    <w:link w:val="ListLabel480"/>
  </w:style>
  <w:style w:type="character" w:customStyle="1" w:styleId="ListLabel480">
    <w:name w:val="ListLabel 48"/>
    <w:link w:val="ListLabel48"/>
  </w:style>
  <w:style w:type="paragraph" w:customStyle="1" w:styleId="ListLabel42">
    <w:name w:val="ListLabel 42"/>
    <w:link w:val="ListLabel420"/>
  </w:style>
  <w:style w:type="character" w:customStyle="1" w:styleId="ListLabel420">
    <w:name w:val="ListLabel 42"/>
    <w:link w:val="ListLabel42"/>
  </w:style>
  <w:style w:type="paragraph" w:customStyle="1" w:styleId="ListLabel33">
    <w:name w:val="ListLabel 33"/>
    <w:link w:val="ListLabel330"/>
  </w:style>
  <w:style w:type="character" w:customStyle="1" w:styleId="ListLabel330">
    <w:name w:val="ListLabel 33"/>
    <w:link w:val="ListLabel33"/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styleId="af4">
    <w:name w:val="Balloon Text"/>
    <w:basedOn w:val="a"/>
    <w:link w:val="1a"/>
    <w:rPr>
      <w:rFonts w:ascii="Segoe UI" w:hAnsi="Segoe UI"/>
      <w:sz w:val="18"/>
    </w:rPr>
  </w:style>
  <w:style w:type="character" w:customStyle="1" w:styleId="1a">
    <w:name w:val="Текст выноски Знак1"/>
    <w:basedOn w:val="1"/>
    <w:link w:val="af4"/>
    <w:rPr>
      <w:rFonts w:ascii="Segoe UI" w:hAnsi="Segoe UI"/>
      <w:sz w:val="18"/>
    </w:rPr>
  </w:style>
  <w:style w:type="paragraph" w:customStyle="1" w:styleId="ListLabel56">
    <w:name w:val="ListLabel 56"/>
    <w:link w:val="ListLabel560"/>
  </w:style>
  <w:style w:type="character" w:customStyle="1" w:styleId="ListLabel560">
    <w:name w:val="ListLabel 56"/>
    <w:link w:val="ListLabel56"/>
  </w:style>
  <w:style w:type="paragraph" w:styleId="a8">
    <w:name w:val="Body Text"/>
    <w:basedOn w:val="a"/>
    <w:link w:val="af"/>
    <w:pPr>
      <w:spacing w:after="140" w:line="276" w:lineRule="auto"/>
    </w:pPr>
  </w:style>
  <w:style w:type="character" w:customStyle="1" w:styleId="af">
    <w:name w:val="Основной текст Знак"/>
    <w:basedOn w:val="1"/>
    <w:link w:val="a8"/>
    <w:rPr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4"/>
    </w:rPr>
  </w:style>
  <w:style w:type="character" w:customStyle="1" w:styleId="HeaderandFooter0">
    <w:name w:val="Header and Footer"/>
    <w:link w:val="HeaderandFooter"/>
    <w:rPr>
      <w:rFonts w:ascii="XO Thames" w:hAnsi="XO Thames"/>
      <w:sz w:val="24"/>
    </w:rPr>
  </w:style>
  <w:style w:type="paragraph" w:customStyle="1" w:styleId="ListLabel100">
    <w:name w:val="ListLabel 10"/>
    <w:link w:val="ListLabel101"/>
  </w:style>
  <w:style w:type="character" w:customStyle="1" w:styleId="ListLabel101">
    <w:name w:val="ListLabel 10"/>
    <w:link w:val="ListLabel100"/>
  </w:style>
  <w:style w:type="paragraph" w:customStyle="1" w:styleId="ListLabel34">
    <w:name w:val="ListLabel 34"/>
    <w:link w:val="ListLabel340"/>
  </w:style>
  <w:style w:type="character" w:customStyle="1" w:styleId="ListLabel340">
    <w:name w:val="ListLabel 34"/>
    <w:link w:val="ListLabel34"/>
  </w:style>
  <w:style w:type="paragraph" w:customStyle="1" w:styleId="1b">
    <w:name w:val="Гиперссылка1"/>
    <w:link w:val="af5"/>
    <w:rPr>
      <w:color w:val="0000FF"/>
      <w:u w:val="single"/>
    </w:rPr>
  </w:style>
  <w:style w:type="character" w:styleId="af5">
    <w:name w:val="Hyperlink"/>
    <w:link w:val="1b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c">
    <w:name w:val="toc 1"/>
    <w:link w:val="1d"/>
    <w:uiPriority w:val="39"/>
    <w:rPr>
      <w:rFonts w:ascii="XO Thames" w:hAnsi="XO Thames"/>
      <w:b/>
      <w:sz w:val="24"/>
    </w:rPr>
  </w:style>
  <w:style w:type="character" w:customStyle="1" w:styleId="1d">
    <w:name w:val="Оглавление 1 Знак"/>
    <w:link w:val="1c"/>
    <w:rPr>
      <w:rFonts w:ascii="XO Thames" w:hAnsi="XO Thames"/>
      <w:b/>
      <w:sz w:val="24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customStyle="1" w:styleId="af6">
    <w:name w:val="Содержимое врезки"/>
    <w:basedOn w:val="a"/>
    <w:link w:val="af7"/>
  </w:style>
  <w:style w:type="character" w:customStyle="1" w:styleId="af7">
    <w:name w:val="Содержимое врезки"/>
    <w:basedOn w:val="1"/>
    <w:link w:val="af6"/>
    <w:rPr>
      <w:sz w:val="24"/>
    </w:rPr>
  </w:style>
  <w:style w:type="paragraph" w:customStyle="1" w:styleId="HeaderandFooter1">
    <w:name w:val="Header and Footer"/>
    <w:link w:val="HeaderandFooter2"/>
    <w:rPr>
      <w:rFonts w:ascii="XO Thames" w:hAnsi="XO Thames"/>
    </w:rPr>
  </w:style>
  <w:style w:type="character" w:customStyle="1" w:styleId="HeaderandFooter2">
    <w:name w:val="Header and Footer"/>
    <w:link w:val="HeaderandFooter1"/>
    <w:rPr>
      <w:rFonts w:ascii="XO Thames" w:hAnsi="XO Thames"/>
      <w:sz w:val="20"/>
    </w:rPr>
  </w:style>
  <w:style w:type="paragraph" w:customStyle="1" w:styleId="ListLabel47">
    <w:name w:val="ListLabel 47"/>
    <w:link w:val="ListLabel470"/>
  </w:style>
  <w:style w:type="character" w:customStyle="1" w:styleId="ListLabel470">
    <w:name w:val="ListLabel 47"/>
    <w:link w:val="ListLabel47"/>
  </w:style>
  <w:style w:type="paragraph" w:customStyle="1" w:styleId="ListLabel22">
    <w:name w:val="ListLabel 22"/>
    <w:link w:val="ListLabel220"/>
  </w:style>
  <w:style w:type="character" w:customStyle="1" w:styleId="ListLabel220">
    <w:name w:val="ListLabel 22"/>
    <w:link w:val="ListLabel22"/>
  </w:style>
  <w:style w:type="paragraph" w:styleId="9">
    <w:name w:val="toc 9"/>
    <w:link w:val="90"/>
    <w:uiPriority w:val="39"/>
    <w:pPr>
      <w:ind w:left="1600"/>
    </w:pPr>
    <w:rPr>
      <w:sz w:val="24"/>
    </w:rPr>
  </w:style>
  <w:style w:type="character" w:customStyle="1" w:styleId="90">
    <w:name w:val="Оглавление 9 Знак"/>
    <w:link w:val="9"/>
    <w:rPr>
      <w:sz w:val="24"/>
    </w:rPr>
  </w:style>
  <w:style w:type="paragraph" w:customStyle="1" w:styleId="af8">
    <w:name w:val="Текст выноски Знак"/>
    <w:basedOn w:val="16"/>
    <w:link w:val="af9"/>
    <w:rPr>
      <w:rFonts w:ascii="Segoe UI" w:hAnsi="Segoe UI"/>
      <w:sz w:val="18"/>
    </w:rPr>
  </w:style>
  <w:style w:type="character" w:customStyle="1" w:styleId="af9">
    <w:name w:val="Текст выноски Знак"/>
    <w:basedOn w:val="a0"/>
    <w:link w:val="af8"/>
    <w:rPr>
      <w:rFonts w:ascii="Segoe UI" w:hAnsi="Segoe UI"/>
      <w:sz w:val="18"/>
    </w:rPr>
  </w:style>
  <w:style w:type="paragraph" w:customStyle="1" w:styleId="ListLabel57">
    <w:name w:val="ListLabel 57"/>
    <w:link w:val="ListLabel570"/>
  </w:style>
  <w:style w:type="character" w:customStyle="1" w:styleId="ListLabel570">
    <w:name w:val="ListLabel 57"/>
    <w:link w:val="ListLabel57"/>
  </w:style>
  <w:style w:type="paragraph" w:customStyle="1" w:styleId="ListLabel300">
    <w:name w:val="ListLabel 30"/>
    <w:link w:val="ListLabel301"/>
  </w:style>
  <w:style w:type="character" w:customStyle="1" w:styleId="ListLabel301">
    <w:name w:val="ListLabel 30"/>
    <w:link w:val="ListLabel300"/>
  </w:style>
  <w:style w:type="paragraph" w:customStyle="1" w:styleId="ListLabel28">
    <w:name w:val="ListLabel 28"/>
    <w:link w:val="ListLabel280"/>
  </w:style>
  <w:style w:type="character" w:customStyle="1" w:styleId="ListLabel280">
    <w:name w:val="ListLabel 28"/>
    <w:link w:val="ListLabel28"/>
  </w:style>
  <w:style w:type="paragraph" w:customStyle="1" w:styleId="1e">
    <w:name w:val="Список1"/>
    <w:basedOn w:val="Textbody"/>
    <w:link w:val="1f"/>
  </w:style>
  <w:style w:type="character" w:customStyle="1" w:styleId="1f">
    <w:name w:val="Список1"/>
    <w:basedOn w:val="Textbody0"/>
    <w:link w:val="1e"/>
  </w:style>
  <w:style w:type="paragraph" w:customStyle="1" w:styleId="1f0">
    <w:name w:val="Замещающий текст1"/>
    <w:basedOn w:val="16"/>
    <w:link w:val="afa"/>
    <w:rPr>
      <w:color w:val="808080"/>
    </w:rPr>
  </w:style>
  <w:style w:type="character" w:styleId="afa">
    <w:name w:val="Placeholder Text"/>
    <w:basedOn w:val="a0"/>
    <w:link w:val="1f0"/>
    <w:rPr>
      <w:color w:val="808080"/>
    </w:rPr>
  </w:style>
  <w:style w:type="paragraph" w:customStyle="1" w:styleId="1f1">
    <w:name w:val="Верхний колонтитул1"/>
    <w:link w:val="1f2"/>
  </w:style>
  <w:style w:type="character" w:customStyle="1" w:styleId="1f2">
    <w:name w:val="Верхний колонтитул1"/>
    <w:link w:val="1f1"/>
  </w:style>
  <w:style w:type="paragraph" w:customStyle="1" w:styleId="toc10">
    <w:name w:val="toc 10"/>
    <w:link w:val="toc100"/>
    <w:pPr>
      <w:ind w:left="1800"/>
    </w:pPr>
    <w:rPr>
      <w:sz w:val="24"/>
    </w:rPr>
  </w:style>
  <w:style w:type="character" w:customStyle="1" w:styleId="toc100">
    <w:name w:val="toc 10"/>
    <w:link w:val="toc10"/>
    <w:rPr>
      <w:sz w:val="24"/>
    </w:rPr>
  </w:style>
  <w:style w:type="paragraph" w:styleId="8">
    <w:name w:val="toc 8"/>
    <w:link w:val="80"/>
    <w:uiPriority w:val="39"/>
    <w:pPr>
      <w:ind w:left="1400"/>
    </w:pPr>
    <w:rPr>
      <w:sz w:val="24"/>
    </w:rPr>
  </w:style>
  <w:style w:type="character" w:customStyle="1" w:styleId="80">
    <w:name w:val="Оглавление 8 Знак"/>
    <w:link w:val="8"/>
    <w:rPr>
      <w:sz w:val="24"/>
    </w:rPr>
  </w:style>
  <w:style w:type="paragraph" w:customStyle="1" w:styleId="ListLabel39">
    <w:name w:val="ListLabel 39"/>
    <w:link w:val="ListLabel390"/>
  </w:style>
  <w:style w:type="character" w:customStyle="1" w:styleId="ListLabel390">
    <w:name w:val="ListLabel 39"/>
    <w:link w:val="ListLabel39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paragraph" w:customStyle="1" w:styleId="ListLabel44">
    <w:name w:val="ListLabel 44"/>
    <w:link w:val="ListLabel440"/>
  </w:style>
  <w:style w:type="character" w:customStyle="1" w:styleId="ListLabel440">
    <w:name w:val="ListLabel 44"/>
    <w:link w:val="ListLabel44"/>
  </w:style>
  <w:style w:type="paragraph" w:customStyle="1" w:styleId="ListLabel51">
    <w:name w:val="ListLabel 51"/>
    <w:link w:val="ListLabel510"/>
  </w:style>
  <w:style w:type="character" w:customStyle="1" w:styleId="ListLabel510">
    <w:name w:val="ListLabel 51"/>
    <w:link w:val="ListLabel51"/>
  </w:style>
  <w:style w:type="paragraph" w:customStyle="1" w:styleId="ListLabel14">
    <w:name w:val="ListLabel 14"/>
    <w:link w:val="ListLabel140"/>
  </w:style>
  <w:style w:type="character" w:customStyle="1" w:styleId="ListLabel140">
    <w:name w:val="ListLabel 14"/>
    <w:link w:val="ListLabel14"/>
  </w:style>
  <w:style w:type="paragraph" w:customStyle="1" w:styleId="ListLabel18">
    <w:name w:val="ListLabel 18"/>
    <w:link w:val="ListLabel180"/>
  </w:style>
  <w:style w:type="character" w:customStyle="1" w:styleId="ListLabel180">
    <w:name w:val="ListLabel 18"/>
    <w:link w:val="ListLabel18"/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customStyle="1" w:styleId="1f3">
    <w:name w:val="Указатель1"/>
    <w:link w:val="1f4"/>
  </w:style>
  <w:style w:type="character" w:customStyle="1" w:styleId="1f4">
    <w:name w:val="Указатель1"/>
    <w:link w:val="1f3"/>
  </w:style>
  <w:style w:type="paragraph" w:customStyle="1" w:styleId="51">
    <w:name w:val="Заголовок 51"/>
    <w:link w:val="510"/>
    <w:rPr>
      <w:rFonts w:ascii="XO Thames" w:hAnsi="XO Thames"/>
      <w:b/>
      <w:sz w:val="22"/>
    </w:rPr>
  </w:style>
  <w:style w:type="character" w:customStyle="1" w:styleId="510">
    <w:name w:val="Заголовок 51"/>
    <w:link w:val="51"/>
    <w:rPr>
      <w:rFonts w:ascii="XO Thames" w:hAnsi="XO Thames"/>
      <w:b/>
      <w:color w:val="000000"/>
      <w:sz w:val="22"/>
    </w:rPr>
  </w:style>
  <w:style w:type="paragraph" w:styleId="afb">
    <w:name w:val="footer"/>
    <w:basedOn w:val="a"/>
    <w:link w:val="1f5"/>
    <w:pPr>
      <w:tabs>
        <w:tab w:val="center" w:pos="4677"/>
        <w:tab w:val="right" w:pos="9355"/>
      </w:tabs>
    </w:pPr>
  </w:style>
  <w:style w:type="character" w:customStyle="1" w:styleId="1f5">
    <w:name w:val="Нижний колонтитул Знак1"/>
    <w:basedOn w:val="1"/>
    <w:link w:val="afb"/>
    <w:rPr>
      <w:sz w:val="24"/>
    </w:rPr>
  </w:style>
  <w:style w:type="paragraph" w:styleId="afc">
    <w:name w:val="List Paragraph"/>
    <w:basedOn w:val="a"/>
    <w:link w:val="afd"/>
    <w:pPr>
      <w:ind w:left="720"/>
      <w:contextualSpacing/>
    </w:pPr>
  </w:style>
  <w:style w:type="character" w:customStyle="1" w:styleId="afd">
    <w:name w:val="Абзац списка Знак"/>
    <w:basedOn w:val="1"/>
    <w:link w:val="afc"/>
    <w:rPr>
      <w:sz w:val="24"/>
    </w:rPr>
  </w:style>
  <w:style w:type="paragraph" w:styleId="52">
    <w:name w:val="toc 5"/>
    <w:link w:val="53"/>
    <w:uiPriority w:val="39"/>
    <w:pPr>
      <w:ind w:left="800"/>
    </w:pPr>
    <w:rPr>
      <w:sz w:val="24"/>
    </w:rPr>
  </w:style>
  <w:style w:type="character" w:customStyle="1" w:styleId="53">
    <w:name w:val="Оглавление 5 Знак"/>
    <w:link w:val="52"/>
    <w:rPr>
      <w:sz w:val="24"/>
    </w:rPr>
  </w:style>
  <w:style w:type="paragraph" w:customStyle="1" w:styleId="ListLabel400">
    <w:name w:val="ListLabel 40"/>
    <w:link w:val="ListLabel401"/>
    <w:rPr>
      <w:sz w:val="36"/>
    </w:rPr>
  </w:style>
  <w:style w:type="character" w:customStyle="1" w:styleId="ListLabel401">
    <w:name w:val="ListLabel 40"/>
    <w:link w:val="ListLabel400"/>
    <w:rPr>
      <w:sz w:val="36"/>
    </w:rPr>
  </w:style>
  <w:style w:type="paragraph" w:customStyle="1" w:styleId="ListLabel12">
    <w:name w:val="ListLabel 12"/>
    <w:link w:val="ListLabel120"/>
  </w:style>
  <w:style w:type="character" w:customStyle="1" w:styleId="ListLabel120">
    <w:name w:val="ListLabel 12"/>
    <w:link w:val="ListLabel12"/>
  </w:style>
  <w:style w:type="paragraph" w:customStyle="1" w:styleId="210">
    <w:name w:val="Заголовок 21"/>
    <w:link w:val="211"/>
    <w:rPr>
      <w:rFonts w:ascii="XO Thames" w:hAnsi="XO Thames"/>
      <w:b/>
      <w:color w:val="00A0FF"/>
      <w:sz w:val="26"/>
    </w:rPr>
  </w:style>
  <w:style w:type="character" w:customStyle="1" w:styleId="211">
    <w:name w:val="Заголовок 21"/>
    <w:link w:val="210"/>
    <w:rPr>
      <w:rFonts w:ascii="XO Thames" w:hAnsi="XO Thames"/>
      <w:b/>
      <w:color w:val="00A0FF"/>
      <w:sz w:val="26"/>
    </w:rPr>
  </w:style>
  <w:style w:type="paragraph" w:customStyle="1" w:styleId="ListLabel31">
    <w:name w:val="ListLabel 31"/>
    <w:link w:val="ListLabel310"/>
  </w:style>
  <w:style w:type="character" w:customStyle="1" w:styleId="ListLabel310">
    <w:name w:val="ListLabel 31"/>
    <w:link w:val="ListLabel31"/>
  </w:style>
  <w:style w:type="paragraph" w:customStyle="1" w:styleId="ListLabel17">
    <w:name w:val="ListLabel 17"/>
    <w:link w:val="ListLabel170"/>
  </w:style>
  <w:style w:type="character" w:customStyle="1" w:styleId="ListLabel170">
    <w:name w:val="ListLabel 17"/>
    <w:link w:val="ListLabel17"/>
  </w:style>
  <w:style w:type="paragraph" w:customStyle="1" w:styleId="ListLabel32">
    <w:name w:val="ListLabel 32"/>
    <w:link w:val="ListLabel320"/>
  </w:style>
  <w:style w:type="character" w:customStyle="1" w:styleId="ListLabel320">
    <w:name w:val="ListLabel 32"/>
    <w:link w:val="ListLabel32"/>
  </w:style>
  <w:style w:type="paragraph" w:styleId="afe">
    <w:name w:val="Subtitle"/>
    <w:link w:val="aff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">
    <w:name w:val="Подзаголовок Знак"/>
    <w:link w:val="afe"/>
    <w:rPr>
      <w:rFonts w:ascii="XO Thames" w:hAnsi="XO Thames"/>
      <w:i/>
      <w:color w:val="616161"/>
      <w:sz w:val="24"/>
    </w:rPr>
  </w:style>
  <w:style w:type="paragraph" w:customStyle="1" w:styleId="ListLabel27">
    <w:name w:val="ListLabel 27"/>
    <w:link w:val="ListLabel270"/>
  </w:style>
  <w:style w:type="character" w:customStyle="1" w:styleId="ListLabel270">
    <w:name w:val="ListLabel 27"/>
    <w:link w:val="ListLabel27"/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</w:style>
  <w:style w:type="paragraph" w:customStyle="1" w:styleId="16">
    <w:name w:val="Основной шрифт абзаца1"/>
    <w:link w:val="toc101"/>
  </w:style>
  <w:style w:type="paragraph" w:customStyle="1" w:styleId="toc101">
    <w:name w:val="toc 10"/>
    <w:link w:val="toc102"/>
    <w:uiPriority w:val="39"/>
  </w:style>
  <w:style w:type="character" w:customStyle="1" w:styleId="toc102">
    <w:name w:val="toc 10"/>
    <w:link w:val="toc101"/>
  </w:style>
  <w:style w:type="paragraph" w:customStyle="1" w:styleId="ListLabel37">
    <w:name w:val="ListLabel 37"/>
    <w:link w:val="ListLabel370"/>
  </w:style>
  <w:style w:type="character" w:customStyle="1" w:styleId="ListLabel370">
    <w:name w:val="ListLabel 37"/>
    <w:link w:val="ListLabel37"/>
  </w:style>
  <w:style w:type="paragraph" w:styleId="aff0">
    <w:name w:val="Title"/>
    <w:link w:val="aff1"/>
    <w:uiPriority w:val="10"/>
    <w:qFormat/>
    <w:rPr>
      <w:rFonts w:ascii="XO Thames" w:hAnsi="XO Thames"/>
      <w:b/>
      <w:sz w:val="52"/>
    </w:rPr>
  </w:style>
  <w:style w:type="character" w:customStyle="1" w:styleId="aff1">
    <w:name w:val="Название Знак"/>
    <w:link w:val="aff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aff2">
    <w:name w:val="Заголовок"/>
    <w:link w:val="aff3"/>
    <w:rPr>
      <w:rFonts w:ascii="Arial" w:hAnsi="Arial"/>
      <w:sz w:val="28"/>
    </w:rPr>
  </w:style>
  <w:style w:type="character" w:customStyle="1" w:styleId="aff3">
    <w:name w:val="Заголовок"/>
    <w:link w:val="aff2"/>
    <w:rPr>
      <w:rFonts w:ascii="Arial" w:hAnsi="Arial"/>
      <w:sz w:val="28"/>
    </w:rPr>
  </w:style>
  <w:style w:type="paragraph" w:customStyle="1" w:styleId="Footnote1">
    <w:name w:val="Footnote"/>
    <w:link w:val="Footnote2"/>
    <w:rPr>
      <w:rFonts w:ascii="XO Thames" w:hAnsi="XO Thames"/>
      <w:color w:val="757575"/>
      <w:sz w:val="24"/>
    </w:rPr>
  </w:style>
  <w:style w:type="character" w:customStyle="1" w:styleId="Footnote2">
    <w:name w:val="Footnote"/>
    <w:link w:val="Footnote1"/>
    <w:rPr>
      <w:rFonts w:ascii="XO Thames" w:hAnsi="XO Thames"/>
      <w:color w:val="757575"/>
      <w:sz w:val="24"/>
    </w:rPr>
  </w:style>
  <w:style w:type="paragraph" w:customStyle="1" w:styleId="ListLabel2">
    <w:name w:val="ListLabel 2"/>
    <w:link w:val="ListLabel2a"/>
  </w:style>
  <w:style w:type="character" w:customStyle="1" w:styleId="ListLabel2a">
    <w:name w:val="ListLabel 2"/>
    <w:link w:val="ListLabel2"/>
  </w:style>
  <w:style w:type="paragraph" w:customStyle="1" w:styleId="ListLabel45">
    <w:name w:val="ListLabel 45"/>
    <w:link w:val="ListLabel450"/>
  </w:style>
  <w:style w:type="character" w:customStyle="1" w:styleId="ListLabel450">
    <w:name w:val="ListLabel 45"/>
    <w:link w:val="ListLabel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1287</Words>
  <Characters>7339</Characters>
  <Application>Microsoft Office Word</Application>
  <DocSecurity>0</DocSecurity>
  <Lines>61</Lines>
  <Paragraphs>17</Paragraphs>
  <ScaleCrop>false</ScaleCrop>
  <Company/>
  <LinksUpToDate>false</LinksUpToDate>
  <CharactersWithSpaces>8609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2020-10-09T14:38:00Z</dcterms:created>
  <dcterms:modified xsi:type="dcterms:W3CDTF">2020-10-09T14:39:00Z</dcterms:modified>
</cp:coreProperties>
</file>