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АКТУАЛИЗИРОВАННАЯ </w:t>
      </w:r>
      <w:r>
        <w:rPr>
          <w:rFonts w:eastAsia="Calibri" w:cs="Times New Roman" w:ascii="Times New Roman" w:hAnsi="Times New Roman" w:eastAsiaTheme="minorHAnsi"/>
          <w:b/>
          <w:color w:val="auto"/>
          <w:kern w:val="0"/>
          <w:sz w:val="24"/>
          <w:szCs w:val="24"/>
          <w:lang w:val="ru-RU" w:eastAsia="en-US" w:bidi="ar-SA"/>
        </w:rPr>
        <w:t>ИНФОРМАЦИЯ</w:t>
      </w:r>
      <w:r>
        <w:rPr>
          <w:rFonts w:cs="Times New Roman" w:ascii="Times New Roman" w:hAnsi="Times New Roman"/>
          <w:b/>
          <w:sz w:val="24"/>
          <w:szCs w:val="24"/>
        </w:rPr>
        <w:t xml:space="preserve"> ПО ОЦЕНКЕ ДОСТИЖЕНИЯ ПОКАЗАТЕЛЕЙ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И ОЖИДАЕМЫХ РЕЗУЛЬТАТОВ РАЗВИТИЯ КОНКУРЕНЦИИ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(в части сведений о динамике ключевых показателей развития конкуренции, предусмотренных подпунктами «а» и «в» пункта 1 Национального плана развития конкуренции в Российской Федерации на 2018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4"/>
          <w:szCs w:val="24"/>
          <w:lang w:val="ru-RU" w:eastAsia="en-US" w:bidi="ar-SA"/>
        </w:rPr>
        <w:t>−</w:t>
      </w:r>
      <w:r>
        <w:rPr>
          <w:rFonts w:cs="Times New Roman" w:ascii="Times New Roman" w:hAnsi="Times New Roman"/>
          <w:sz w:val="24"/>
          <w:szCs w:val="24"/>
        </w:rPr>
        <w:t>2020 годы, утвержденного Указом Президента Российской Федерации от 21 декабря 2017 г. № 618, и подпунктами 1, 3 и 4 пункта 3 раздела II плана мероприятий («дорожной карты»), утвержденной</w:t>
        <w:br/>
        <w:t xml:space="preserve">распоряжением Правительства Российской Федерации от  16 августа 2018 г. № 1697-p *) </w:t>
      </w:r>
    </w:p>
    <w:tbl>
      <w:tblPr>
        <w:tblStyle w:val="a3"/>
        <w:tblW w:w="146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70"/>
        <w:gridCol w:w="1695"/>
        <w:gridCol w:w="1812"/>
        <w:gridCol w:w="4886"/>
        <w:gridCol w:w="5662"/>
      </w:tblGrid>
      <w:tr>
        <w:trPr>
          <w:tblHeader w:val="true"/>
        </w:trPr>
        <w:tc>
          <w:tcPr>
            <w:tcW w:w="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hanging="12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16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Пункт Нацплана/ «дорожной карты»</w:t>
            </w:r>
          </w:p>
        </w:tc>
        <w:tc>
          <w:tcPr>
            <w:tcW w:w="181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Ответственный исполнитель/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соисполнитель</w:t>
            </w:r>
          </w:p>
        </w:tc>
        <w:tc>
          <w:tcPr>
            <w:tcW w:w="488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Ключевые показатели/ ожидаемые результаты</w:t>
            </w:r>
          </w:p>
        </w:tc>
        <w:tc>
          <w:tcPr>
            <w:tcW w:w="56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Анализ и оценка степени достижения ожидаемого результата в 2020 году </w:t>
            </w:r>
          </w:p>
        </w:tc>
      </w:tr>
      <w:tr>
        <w:trPr/>
        <w:tc>
          <w:tcPr>
            <w:tcW w:w="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1.</w:t>
            </w:r>
          </w:p>
        </w:tc>
        <w:tc>
          <w:tcPr>
            <w:tcW w:w="16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Подпункт «а» пункта 1 Нацплана/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пункт 3 раздела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I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«дорожной карты»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Федеральные органы исполнительной власти, осуществляющие функции по выработке и реализации государственной политики в установленной сфере деятельности</w:t>
            </w:r>
          </w:p>
        </w:tc>
        <w:tc>
          <w:tcPr>
            <w:tcW w:w="4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Обеспечение во всех отраслях экономики Российской Федерации, за исключением сфер деятельности субъектов естественных монополий и организаций оборонно-промышленного комплекса, присутствия не менее трех хозяйствующих субъектов, не менее чем один из которых относится к частному бизнесу</w:t>
            </w:r>
          </w:p>
        </w:tc>
        <w:tc>
          <w:tcPr>
            <w:tcW w:w="566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По данным Росстата**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количество юридических лиц</w:t>
              <w:br/>
              <w:t>по Российской Федерации и количество юридических лиц частной формы собственности по Российской Федерации (ОКФС 16 «Частная собственность»)</w:t>
              <w:br/>
              <w:t>по отдельным видам экономической деятельности, заявленным при государственной регистрации в качестве основных (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позиция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1.5.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 Федерального плана статистических работ, утвержденного распоряжением Правительства Российской Федерации от 6 мая 2008 г.</w:t>
              <w:br/>
              <w:t xml:space="preserve">№ 671-р,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далее − ФПСР)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, по состоянию</w:t>
              <w:br/>
              <w:t>на 1 января 2021 г. составила: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-  Строительство автомобильных дорог</w:t>
              <w:br/>
              <w:t xml:space="preserve">и автомагистралей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11426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, в том числе относящихся</w:t>
              <w:br/>
              <w:t xml:space="preserve">к частной собственности,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10845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- Строительство мостов и тоннелей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488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, в том числе относящихся к частной собственности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470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;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- Деятельность в области архитектуры и инженерно-технического проектирования; технических испытаний, исследований и анализа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76135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, в том числе относящихся к частной собственности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71803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- Перевозка пассажиров железнодорожным транспортом в междугородном сообщении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52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, в том числе относящихся к частной собственности – 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- Перевозка пассажиров железнодорожным транспортом в пригородном сообщении −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20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, в том числе относящихся к частной собственности – 2;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- Регулярные перевозки пассажиров автобусами</w:t>
              <w:br/>
              <w:t xml:space="preserve">в городском и пригородном сообщении –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1651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, в том числе относящихся к частной собственности – 1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362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. </w:t>
            </w:r>
          </w:p>
        </w:tc>
      </w:tr>
      <w:tr>
        <w:trPr>
          <w:trHeight w:val="4104" w:hRule="atLeast"/>
        </w:trPr>
        <w:tc>
          <w:tcPr>
            <w:tcW w:w="5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2.</w:t>
            </w:r>
          </w:p>
        </w:tc>
        <w:tc>
          <w:tcPr>
            <w:tcW w:w="169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Подпункт «в» п</w:t>
            </w: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ункта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1 Нацплана/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пункт 3 раздела I «дорожной карты»</w:t>
            </w:r>
          </w:p>
        </w:tc>
        <w:tc>
          <w:tcPr>
            <w:tcW w:w="181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 w:eastAsiaTheme="minorHAnsi"/>
                <w:color w:val="auto"/>
                <w:kern w:val="0"/>
                <w:sz w:val="22"/>
                <w:szCs w:val="22"/>
                <w:lang w:val="ru-RU" w:eastAsia="en-US" w:bidi="ar-SA"/>
              </w:rPr>
              <w:t>Ф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едеральные органы исполнительной власти, осуществляющие функции по выработке и реализации государственной политики в установленной сфере деятельности</w:t>
            </w:r>
          </w:p>
        </w:tc>
        <w:tc>
          <w:tcPr>
            <w:tcW w:w="4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cs="Times New Roman"/>
                <w:shd w:fill="auto" w:val="clear"/>
              </w:rPr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Увеличение к 2020 году доли закупок, участниками которых являются только субъекты малого предпринимательства и социально ориентированные некоммерческие организации, </w:t>
              <w:br/>
              <w:t xml:space="preserve">в сфере государственного и муниципального заказов не менее чем в 2 раза по сравнению </w:t>
              <w:br/>
              <w:t xml:space="preserve">с 2017 годом, а также увеличение отдельными видами юридических лиц объема закупок, участниками которых являются только субъекты малого и среднего предпринимательства, </w:t>
              <w:br/>
              <w:t>до 18 % к 2020 году</w:t>
            </w:r>
          </w:p>
        </w:tc>
        <w:tc>
          <w:tcPr>
            <w:tcW w:w="566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highlight w:val="yellow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2020 году в соответствии с отчетом Минтранса России об объеме закупок у субъектов малого предпринимательства и социально ориентированных некоммерческих организаций за 2020 отчетный год значение показателя «Доля закупок, которые заказчик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частью 1.1 статьи 30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составило  31,8</w:t>
            </w: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7 %.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 xml:space="preserve">По информации </w:t>
            </w:r>
            <w:r>
              <w:rPr>
                <w:rFonts w:eastAsia="Calibri" w:cs="Times New Roman" w:ascii="Times New Roman" w:hAnsi="Times New Roman" w:eastAsiaTheme="minorHAnsi"/>
                <w:color w:val="000000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Г</w:t>
            </w: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осударственной  компании  «Российские автомобильные дороги» (письмо</w:t>
              <w:br/>
              <w:t>от 22 сентября 2021 г. № 26371-КП) доля закупок, участниками которых могут быть только субъекты  MCП, в 2020 году составила  18,07 %.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/>
            </w:pPr>
            <w:r>
              <w:rPr>
                <w:rFonts w:eastAsia="Calibri" w:cs="Times New Roman" w:ascii="Times New Roman" w:hAnsi="Times New Roman" w:eastAsiaTheme="minorHAnsi"/>
                <w:kern w:val="0"/>
                <w:sz w:val="22"/>
                <w:szCs w:val="22"/>
                <w:shd w:fill="auto" w:val="clear"/>
                <w:lang w:val="ru-RU" w:eastAsia="en-US" w:bidi="ar-SA"/>
              </w:rPr>
              <w:t>По информации ОАО «Российские железные дороги» (письмо от 20 августа 2021 г. № ИСХ-15524/ЦДЗС), доля закупок, участниками которых могут быть только субъекты  MCП, в 2020 году составила  19,4 %, общая доля закупок у субъектов МСП составила в 2020 г. 63,5 %.</w:t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* </w:t>
      </w:r>
      <w:r>
        <w:rPr>
          <w:rFonts w:eastAsia="Calibri" w:cs="" w:ascii="Times New Roman" w:hAnsi="Times New Roman" w:cstheme="minorBidi" w:eastAsiaTheme="minorHAnsi"/>
          <w:color w:val="auto"/>
          <w:kern w:val="0"/>
          <w:sz w:val="24"/>
          <w:szCs w:val="24"/>
          <w:lang w:val="ru-RU" w:eastAsia="en-US" w:bidi="ar-SA"/>
        </w:rPr>
        <w:t>Р</w:t>
      </w:r>
      <w:r>
        <w:rPr>
          <w:rFonts w:ascii="Times New Roman" w:hAnsi="Times New Roman"/>
          <w:sz w:val="24"/>
          <w:szCs w:val="24"/>
        </w:rPr>
        <w:t>азмещено в соответствии с письмом ФАС России от 10 августа 2021 г. № СП/66787-ПР/21.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** </w:t>
      </w:r>
      <w:r>
        <w:rPr>
          <w:rFonts w:ascii="Times New Roman" w:hAnsi="Times New Roman"/>
          <w:sz w:val="24"/>
          <w:szCs w:val="24"/>
        </w:rPr>
        <w:t xml:space="preserve">Информация </w:t>
      </w:r>
      <w:r>
        <w:rPr>
          <w:rFonts w:ascii="Times New Roman" w:hAnsi="Times New Roman"/>
          <w:sz w:val="24"/>
          <w:szCs w:val="24"/>
        </w:rPr>
        <w:t>сформирована Росстатом на основе данных о количестве организаций по данным государственной регистрации</w:t>
        <w:br/>
        <w:t>(позиция 1.5.1 ФПСР)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соответствии с письмом Росстата от 5 октября 2021 г. № КЛ-01-4/3396-МВ информация по </w:t>
      </w:r>
      <w:r>
        <w:rPr>
          <w:rFonts w:ascii="Times New Roman" w:hAnsi="Times New Roman"/>
          <w:sz w:val="24"/>
          <w:szCs w:val="24"/>
        </w:rPr>
        <w:t>показателю</w:t>
      </w:r>
      <w:r>
        <w:rPr>
          <w:rFonts w:ascii="Times New Roman" w:hAnsi="Times New Roman"/>
          <w:sz w:val="24"/>
          <w:szCs w:val="24"/>
        </w:rPr>
        <w:t xml:space="preserve"> «Количество юридических лиц» (позиция 1.5.</w:t>
      </w:r>
      <w:r>
        <w:rPr>
          <w:rFonts w:ascii="Times New Roman" w:hAnsi="Times New Roman"/>
          <w:sz w:val="24"/>
          <w:szCs w:val="24"/>
        </w:rPr>
        <w:t>7 ФПСР)</w:t>
      </w:r>
      <w:r>
        <w:rPr>
          <w:rFonts w:ascii="Times New Roman" w:hAnsi="Times New Roman"/>
          <w:sz w:val="24"/>
          <w:szCs w:val="24"/>
        </w:rPr>
        <w:t>, ранее использовавшаяся Минтранс</w:t>
      </w:r>
      <w:r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России в отчетах </w:t>
      </w:r>
      <w:r>
        <w:rPr>
          <w:rFonts w:ascii="Times New Roman" w:hAnsi="Times New Roman"/>
          <w:sz w:val="24"/>
          <w:szCs w:val="24"/>
        </w:rPr>
        <w:t>по оценке достижения показателей и ожидаемых результатов развития конкуренции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целях исключения дублирования информации</w:t>
      </w:r>
      <w:r>
        <w:rPr>
          <w:rFonts w:ascii="Times New Roman" w:hAnsi="Times New Roman"/>
          <w:sz w:val="24"/>
          <w:szCs w:val="24"/>
        </w:rPr>
        <w:t xml:space="preserve"> с 2020 г. не разрабатывается</w:t>
        <w:br/>
        <w:t>и не публикуется.</w:t>
      </w:r>
    </w:p>
    <w:sectPr>
      <w:headerReference w:type="default" r:id="rId2"/>
      <w:type w:val="nextPage"/>
      <w:pgSz w:orient="landscape" w:w="16838" w:h="11906"/>
      <w:pgMar w:left="1134" w:right="1134" w:header="709" w:top="1134" w:footer="0" w:bottom="79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91197297"/>
    </w:sdtPr>
    <w:sdtContent>
      <w:p>
        <w:pPr>
          <w:pStyle w:val="Style22"/>
          <w:jc w:val="center"/>
          <w:rPr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 PAGE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f6fa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Style16"/>
    <w:next w:val="Style17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462c4f"/>
    <w:rPr>
      <w:rFonts w:ascii="Segoe UI" w:hAnsi="Segoe UI" w:cs="Segoe UI"/>
      <w:sz w:val="18"/>
      <w:szCs w:val="18"/>
    </w:rPr>
  </w:style>
  <w:style w:type="character" w:styleId="Style14" w:customStyle="1">
    <w:name w:val="Верхний колонтитул Знак"/>
    <w:basedOn w:val="DefaultParagraphFont"/>
    <w:link w:val="a6"/>
    <w:uiPriority w:val="99"/>
    <w:qFormat/>
    <w:rsid w:val="00f8745d"/>
    <w:rPr/>
  </w:style>
  <w:style w:type="character" w:styleId="Style15" w:customStyle="1">
    <w:name w:val="Нижний колонтитул Знак"/>
    <w:basedOn w:val="DefaultParagraphFont"/>
    <w:link w:val="a8"/>
    <w:uiPriority w:val="99"/>
    <w:qFormat/>
    <w:rsid w:val="00f8745d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Droid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Droid Sans Devanagari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462c4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7"/>
    <w:uiPriority w:val="99"/>
    <w:unhideWhenUsed/>
    <w:rsid w:val="00f8745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9"/>
    <w:uiPriority w:val="99"/>
    <w:unhideWhenUsed/>
    <w:rsid w:val="00f8745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662ece"/>
    <w:pPr>
      <w:spacing w:before="0" w:after="160"/>
      <w:ind w:left="720" w:hanging="0"/>
      <w:contextualSpacing/>
    </w:pPr>
    <w:rPr/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144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26432-95AB-479E-B7AE-9A2206526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Application>LibreOffice/7.0.6.2$Linux_X86_64 LibreOffice_project/144abb84a525d8e30c9dbbefa69cbbf2d8d4ae3b</Application>
  <AppVersion>15.0000</AppVersion>
  <Pages>2</Pages>
  <Words>655</Words>
  <Characters>4296</Characters>
  <CharactersWithSpaces>4950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2020-12-25T11:07:00Z</dcterms:created>
  <dc:creator>Миненков Владимир Александрович</dc:creator>
  <dc:description/>
  <dc:language>ru-RU</dc:language>
  <cp:lastModifiedBy/>
  <cp:lastPrinted>2021-10-06T13:53:39Z</cp:lastPrinted>
  <dcterms:modified xsi:type="dcterms:W3CDTF">2021-10-06T14:53:17Z</dcterms:modified>
  <cp:revision>189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