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header2.xml" ContentType="application/vnd.openxmlformats-officedocument.wordprocessingml.head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ind w:left="6424" w:right="90" w:hanging="0"/>
        <w:rPr/>
      </w:pPr>
      <w:r>
        <w:rPr/>
        <w:t xml:space="preserve">УТВЕРЖДЕНА </w:t>
      </w:r>
    </w:p>
    <w:p>
      <w:pPr>
        <w:pStyle w:val="Normal"/>
        <w:spacing w:lineRule="auto" w:line="247" w:before="0" w:after="0"/>
        <w:ind w:left="4776" w:right="166" w:firstLine="7"/>
        <w:jc w:val="center"/>
        <w:rPr/>
      </w:pPr>
      <w:r>
        <w:rPr/>
        <w:t xml:space="preserve">Правительственной комиссией по вопросам оптимизации и повышения эффективности бюджетных расходов </w:t>
      </w:r>
    </w:p>
    <w:p>
      <w:pPr>
        <w:pStyle w:val="Normal"/>
        <w:spacing w:lineRule="auto" w:line="259" w:before="0" w:after="157"/>
        <w:ind w:left="4570" w:right="0" w:hanging="0"/>
        <w:jc w:val="center"/>
        <w:rPr>
          <w:sz w:val="10"/>
        </w:rPr>
      </w:pPr>
      <w:r>
        <w:rPr>
          <w:sz w:val="10"/>
        </w:rPr>
        <w:t xml:space="preserve"> </w:t>
      </w:r>
    </w:p>
    <w:p>
      <w:pPr>
        <w:pStyle w:val="Normal"/>
        <w:spacing w:lineRule="auto" w:line="259" w:before="0" w:after="157"/>
        <w:ind w:left="4570" w:right="0" w:hanging="0"/>
        <w:jc w:val="center"/>
        <w:rPr/>
      </w:pPr>
      <w:r>
        <w:rPr/>
        <w:t xml:space="preserve">(протокол от ___________ № ____) </w:t>
      </w:r>
    </w:p>
    <w:p>
      <w:pPr>
        <w:pStyle w:val="Normal"/>
        <w:spacing w:lineRule="auto" w:line="259" w:before="0" w:after="0"/>
        <w:ind w:left="144" w:right="0" w:hanging="0"/>
        <w:jc w:val="left"/>
        <w:rPr/>
      </w:pPr>
      <w:r>
        <w:rPr>
          <w:b/>
        </w:rPr>
        <w:t xml:space="preserve"> </w:t>
      </w:r>
    </w:p>
    <w:p>
      <w:pPr>
        <w:pStyle w:val="Normal"/>
        <w:spacing w:lineRule="auto" w:line="259" w:before="0" w:after="0"/>
        <w:ind w:left="144" w:right="0" w:hanging="0"/>
        <w:jc w:val="left"/>
        <w:rPr/>
      </w:pPr>
      <w:r>
        <w:rPr>
          <w:b/>
        </w:rPr>
        <w:t xml:space="preserve"> </w:t>
      </w:r>
    </w:p>
    <w:p>
      <w:pPr>
        <w:pStyle w:val="Normal"/>
        <w:spacing w:lineRule="auto" w:line="259" w:before="0" w:after="0"/>
        <w:ind w:left="144" w:right="0" w:hanging="0"/>
        <w:jc w:val="left"/>
        <w:rPr/>
      </w:pPr>
      <w:r>
        <w:rPr>
          <w:b/>
        </w:rPr>
        <w:t xml:space="preserve"> </w:t>
      </w:r>
    </w:p>
    <w:p>
      <w:pPr>
        <w:pStyle w:val="1"/>
        <w:numPr>
          <w:ilvl w:val="0"/>
          <w:numId w:val="0"/>
        </w:numPr>
        <w:spacing w:lineRule="auto" w:line="240"/>
        <w:ind w:left="0" w:right="135" w:hanging="0"/>
        <w:rPr/>
      </w:pPr>
      <w:r>
        <w:rPr/>
        <w:t xml:space="preserve">МЕТОДИКА </w:t>
      </w:r>
    </w:p>
    <w:p>
      <w:pPr>
        <w:pStyle w:val="1"/>
        <w:numPr>
          <w:ilvl w:val="0"/>
          <w:numId w:val="0"/>
        </w:numPr>
        <w:spacing w:lineRule="auto" w:line="240"/>
        <w:ind w:left="0" w:right="135" w:hanging="0"/>
        <w:rPr/>
      </w:pPr>
      <w:r>
        <w:rPr/>
        <w:t xml:space="preserve">оценки инфраструктурных проектов,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на финансовое обеспечение реализации инфраструктурных проектов, направленных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 и благоустройству территорий и реализуемых на основании концессионных соглашений </w:t>
        <w:br/>
        <w:t>с привлечением средств Фонда национального благосостояния</w:t>
      </w:r>
    </w:p>
    <w:p>
      <w:pPr>
        <w:pStyle w:val="Normal"/>
        <w:spacing w:lineRule="auto" w:line="240" w:before="0" w:after="0"/>
        <w:ind w:left="144" w:right="0" w:hanging="0"/>
        <w:jc w:val="center"/>
        <w:rPr/>
      </w:pPr>
      <w:r>
        <w:rPr/>
      </w:r>
    </w:p>
    <w:p>
      <w:pPr>
        <w:pStyle w:val="Normal"/>
        <w:spacing w:lineRule="auto" w:line="240" w:before="0" w:after="0"/>
        <w:ind w:left="144" w:right="0" w:hanging="0"/>
        <w:jc w:val="left"/>
        <w:rPr/>
      </w:pPr>
      <w:r>
        <w:rPr>
          <w:b/>
        </w:rPr>
        <w:t xml:space="preserve"> </w:t>
      </w:r>
    </w:p>
    <w:p>
      <w:pPr>
        <w:pStyle w:val="1"/>
        <w:spacing w:lineRule="auto" w:line="240"/>
        <w:ind w:left="250" w:right="130" w:hanging="250"/>
        <w:rPr/>
      </w:pPr>
      <w:r>
        <w:rPr/>
        <w:t xml:space="preserve">ОБЩИЕ ПОЛОЖЕНИЯ </w:t>
      </w:r>
    </w:p>
    <w:p>
      <w:pPr>
        <w:pStyle w:val="Normal"/>
        <w:spacing w:lineRule="auto" w:line="240" w:before="0" w:after="131"/>
        <w:ind w:right="0" w:firstLine="698"/>
        <w:jc w:val="left"/>
        <w:rPr/>
      </w:pPr>
      <w:r>
        <w:rPr/>
      </w:r>
    </w:p>
    <w:p>
      <w:pPr>
        <w:pStyle w:val="Normal"/>
        <w:numPr>
          <w:ilvl w:val="0"/>
          <w:numId w:val="2"/>
        </w:numPr>
        <w:spacing w:lineRule="auto" w:line="240" w:before="0" w:after="0"/>
        <w:ind w:left="142" w:right="183" w:firstLine="698"/>
        <w:rPr/>
      </w:pPr>
      <w:r>
        <w:rPr/>
        <w:t xml:space="preserve">Настоящая Методика разработана в соответствии с Правилами отбора инфраструктурных проектов,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на финансовое обеспечение реализации инфраструктурных проектов, утвержденными постановлением Правительства Российской Федерации от 14 июля 2021 г. № 1189 (далее соответственно – Правила, инфраструктурный проект), в целях обеспечения оценки инфраструктурных проектов, направленных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 и благоустройству территорий на основании концессионных соглашений с привлечением средств Фонда национального благосостояния. </w:t>
      </w:r>
    </w:p>
    <w:p>
      <w:pPr>
        <w:pStyle w:val="Normal"/>
        <w:numPr>
          <w:ilvl w:val="0"/>
          <w:numId w:val="2"/>
        </w:numPr>
        <w:spacing w:lineRule="auto" w:line="240" w:before="0" w:after="0"/>
        <w:ind w:left="142" w:right="90" w:firstLine="698"/>
        <w:rPr/>
      </w:pPr>
      <w:r>
        <w:rPr/>
        <w:t>Для целей настоящей Методики используемые термины означают следующее: «отбор инфраструктурных проектов» – отбор инфраструктурных проектов  в целях предоставления бюджетных кредитов в пределах объема бюджетных кредитов, предоставляемых на реализацию инфраструктурных проектов, направленных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 и благоустройству территорий,</w:t>
        <w:br/>
        <w:t xml:space="preserve">в соответствии с Правилами и решениями Правительственной комиссии по вопросам оптимизации и повышения эффективности бюджетных расходов; </w:t>
      </w:r>
    </w:p>
    <w:p>
      <w:pPr>
        <w:pStyle w:val="Normal"/>
        <w:spacing w:lineRule="auto" w:line="240"/>
        <w:ind w:left="-15" w:right="90" w:firstLine="698"/>
        <w:rPr/>
      </w:pPr>
      <w:r>
        <w:rPr/>
        <w:t xml:space="preserve">«заявка» – заявка субъекта Российской Федерации для участия в отборе инфраструктурных проектов с указанием инфраструктурных проектов, финансирование которых предлагается осуществлять за счет бюджетных кредитов, по форме и с перечнем прилагаемых к ней документов, утвержденным решением Правительственной комиссии по вопросам оптимизации и повышения эффективности бюджетных расходов; </w:t>
      </w:r>
    </w:p>
    <w:p>
      <w:pPr>
        <w:pStyle w:val="Normal"/>
        <w:spacing w:lineRule="auto" w:line="240"/>
        <w:ind w:left="-15" w:right="90" w:firstLine="698"/>
        <w:rPr/>
      </w:pPr>
      <w:r>
        <w:rPr>
          <w:rFonts w:eastAsia="Calibri" w:cs="Calibri" w:ascii="Calibri" w:hAnsi="Calibri"/>
          <w:sz w:val="22"/>
        </w:rPr>
        <w:tab/>
      </w:r>
      <w:r>
        <w:rPr/>
        <w:t xml:space="preserve">Понятия «капитальные вложения» </w:t>
        <w:tab/>
        <w:t>и «инвестиции» применяются</w:t>
        <w:br/>
        <w:t>в значениях, определенных в Федеральном законе от 25 февраля 1999 г. № 39-ФЗ «Об инвестиционной деятельности в Российской Федерации, осуществляемой</w:t>
        <w:br/>
        <w:t xml:space="preserve">в форме капитальных вложений». </w:t>
      </w:r>
    </w:p>
    <w:p>
      <w:pPr>
        <w:pStyle w:val="Normal"/>
        <w:spacing w:lineRule="auto" w:line="240"/>
        <w:ind w:left="-15" w:right="90" w:firstLine="698"/>
        <w:rPr/>
      </w:pPr>
      <w:r>
        <w:rPr/>
        <w:t>Понятия «концессионное соглашение», «концессионер», «концедент» применяется в значениях, определенных Федеральным законом</w:t>
        <w:br/>
        <w:t xml:space="preserve">от 21 июля 2005 г. № 115-ФЗ «О концессионных соглашениях». </w:t>
      </w:r>
    </w:p>
    <w:p>
      <w:pPr>
        <w:pStyle w:val="Normal"/>
        <w:spacing w:lineRule="auto" w:line="240"/>
        <w:ind w:left="-15" w:right="90" w:firstLine="698"/>
        <w:rPr/>
      </w:pPr>
      <w:r>
        <w:rPr/>
        <w:t xml:space="preserve">3. Заявки субъектов Российской Федерации для участия в отборе инфраструктурных проектов подаются высшими должностными лицами субъекта Российской Федерации (руководителями высшего исполнительного органа государственной власти субъекта Российской Федерации) по формам, утвержденным решением Правительственной комиссии по вопросам оптимизации и повышения эффективности бюджетных расходов.  </w:t>
      </w:r>
    </w:p>
    <w:p>
      <w:pPr>
        <w:pStyle w:val="Normal"/>
        <w:spacing w:lineRule="auto" w:line="259" w:before="0" w:after="160"/>
        <w:ind w:right="0" w:hanging="0"/>
        <w:jc w:val="left"/>
        <w:rPr/>
      </w:pPr>
      <w:r>
        <w:rPr/>
      </w:r>
      <w:r>
        <w:br w:type="page"/>
      </w:r>
    </w:p>
    <w:p>
      <w:pPr>
        <w:pStyle w:val="1"/>
        <w:spacing w:lineRule="auto" w:line="240"/>
        <w:ind w:left="10" w:right="135" w:hanging="10"/>
        <w:rPr/>
      </w:pPr>
      <w:r>
        <w:rPr/>
        <w:t>МЕТОДИКА</w:t>
      </w:r>
    </w:p>
    <w:p>
      <w:pPr>
        <w:pStyle w:val="Normal"/>
        <w:spacing w:lineRule="auto" w:line="240" w:before="0" w:after="13"/>
        <w:ind w:left="10" w:right="-45" w:hanging="10"/>
        <w:jc w:val="center"/>
        <w:rPr>
          <w:b/>
          <w:b/>
        </w:rPr>
      </w:pPr>
      <w:r>
        <w:rPr>
          <w:b/>
        </w:rPr>
        <w:t>подготовки заключения Минэкономразвития России по результатам оценки соответствия инфраструктурного проекта требованиям, предусмотренным подпунктом «а» пункта 42 Правил, а также о целесообразности реализации инфраструктурного проекта с учетом социально-экономического эффекта</w:t>
      </w:r>
    </w:p>
    <w:p>
      <w:pPr>
        <w:pStyle w:val="Normal"/>
        <w:spacing w:lineRule="auto" w:line="240" w:before="0" w:after="13"/>
        <w:ind w:left="10" w:right="-45" w:hanging="10"/>
        <w:jc w:val="center"/>
        <w:rPr>
          <w:b/>
          <w:b/>
        </w:rPr>
      </w:pPr>
      <w:r>
        <w:rPr>
          <w:b/>
        </w:rPr>
        <w:t xml:space="preserve">от его реализации в соответствии с подпунктом «б» пункта 46 Правил </w:t>
      </w:r>
    </w:p>
    <w:p>
      <w:pPr>
        <w:pStyle w:val="Normal"/>
        <w:spacing w:lineRule="auto" w:line="240" w:before="0" w:after="143"/>
        <w:ind w:right="0" w:hanging="0"/>
        <w:jc w:val="left"/>
        <w:rPr/>
      </w:pPr>
      <w:r>
        <w:rPr/>
        <w:t xml:space="preserve"> </w:t>
      </w:r>
    </w:p>
    <w:p>
      <w:pPr>
        <w:pStyle w:val="Normal"/>
        <w:spacing w:lineRule="auto" w:line="240"/>
        <w:ind w:right="90" w:firstLine="567"/>
        <w:rPr/>
      </w:pPr>
      <w:r>
        <w:rPr/>
        <w:t>4. Настоящий раздел Методики определяет правила проверки соответствия инфраструктурных проектов требованиям, предусмотренным подпунктом «а» пункта 42 Правил, а также о целесообразности реализации инфраструктурного проекта с учетом социально-экономического эффекта от его реализации</w:t>
        <w:br/>
        <w:t>в соответствии с подпунктом «б» пункта 46 Правил, включая требование</w:t>
        <w:br/>
        <w:t xml:space="preserve">о привлечении средств внебюджетных источников финансирования инфраструктурного проекта и (или) инвестиционных проектов, для обеспечения реализации которых реализуется (планируется реализовывать) инфраструктурный проект, в том числе в рамках комплексного развития территорий, сумма которых составляет не менее объема финансирования инфраструктурного проекта за счет средств бюджетного кредита. </w:t>
      </w:r>
    </w:p>
    <w:p>
      <w:pPr>
        <w:pStyle w:val="Normal"/>
        <w:spacing w:lineRule="auto" w:line="240"/>
        <w:ind w:right="90" w:firstLine="567"/>
        <w:rPr/>
      </w:pPr>
      <w:r>
        <w:rPr/>
        <w:t>5. В целях настоящей методики под объемом внебюджетных средств в виде капитальных вложений понимается объем капитальных вложений, осуществленных инвестором (инвесторами) в ходе реализации инвестиционного проекта. При определении объема капитальных вложений учитываются затраты на создание (приобретение) амортизируемого имущества, а именно затраты на новое строительство, техническое перевооружение, модернизацию основных средств, реконструкцию зданий, приобретение машин, оборудования</w:t>
        <w:br/>
        <w:t xml:space="preserve">(за исключением затрат на приобретение легковых автомобилей, мотоциклов). </w:t>
      </w:r>
    </w:p>
    <w:p>
      <w:pPr>
        <w:pStyle w:val="Normal"/>
        <w:spacing w:lineRule="auto" w:line="240"/>
        <w:ind w:left="-15" w:right="90" w:firstLine="540"/>
        <w:rPr/>
      </w:pPr>
      <w:r>
        <w:rPr/>
        <w:t>При этом не учитываются полученное (приобретенное) инвестором имущество, затраты на которое ранее включались в объем капитальных вложений другими инвесторами, а также затраты на создание (приобретение) зданий и сооружений, расположенных на земельных участках, на которых осуществляется реализация инвестиционного проекта, на 1 июля 2021 г., а также иные затраты на реализацию инвестиционного проекта, понесенные</w:t>
        <w:br/>
        <w:t xml:space="preserve">до указанной даты. </w:t>
      </w:r>
    </w:p>
    <w:p>
      <w:pPr>
        <w:pStyle w:val="Normal"/>
        <w:spacing w:lineRule="auto" w:line="240"/>
        <w:ind w:left="-15" w:right="90" w:firstLine="540"/>
        <w:rPr/>
      </w:pPr>
      <w:r>
        <w:rPr/>
        <w:t xml:space="preserve">Объем капитальных вложений, осуществленных в ходе реализации инвестиционного проекта, определяется на основании цен товаров (работ, услуг) без учета налога на добавленную стоимость. </w:t>
      </w:r>
    </w:p>
    <w:p>
      <w:pPr>
        <w:pStyle w:val="Normal"/>
        <w:spacing w:lineRule="auto" w:line="240"/>
        <w:ind w:left="-15" w:right="90" w:firstLine="540"/>
        <w:rPr/>
      </w:pPr>
      <w:r>
        <w:rPr/>
        <w:t xml:space="preserve">6. В соответствии с требованиями подпункта «а» пункта 42 Правил, представленный в заявке объем привлечения средств внебюджетных источников финансирования инфраструктурного проекта и (или) инвестиционных проектов, для обеспечения реализации которых реализуется (планируется реализовывать) инфраструктурный проект, должен оставлять не менее объема финансирования инфраструктурного проекта за счет средств бюджетного кредита: </w:t>
      </w:r>
    </w:p>
    <w:p>
      <w:pPr>
        <w:pStyle w:val="Normal"/>
        <w:spacing w:lineRule="auto" w:line="240" w:before="0" w:after="0"/>
        <w:ind w:left="1188" w:right="0" w:hanging="10"/>
        <w:jc w:val="left"/>
        <w:rPr/>
      </w:pPr>
      <w:r>
        <w:rPr>
          <w:rFonts w:eastAsia="Cambria Math" w:cs="Cambria Math" w:ascii="Cambria Math" w:hAnsi="Cambria Math"/>
          <w:sz w:val="20"/>
        </w:rPr>
        <w:t>Инв</w:t>
      </w:r>
      <w:r>
        <w:rPr>
          <w:rFonts w:eastAsia="Cambria Math" w:cs="Cambria Math" w:ascii="Cambria Math" w:hAnsi="Cambria Math"/>
          <w:sz w:val="16"/>
        </w:rPr>
        <w:t>внебюдж</w:t>
      </w:r>
    </w:p>
    <w:p>
      <w:pPr>
        <w:pStyle w:val="Normal"/>
        <w:spacing w:lineRule="auto" w:line="240"/>
        <w:ind w:left="566" w:right="90" w:hanging="0"/>
        <w:rPr/>
      </w:pPr>
      <w:r>
        <w:rPr>
          <w:rFonts w:eastAsia="Cambria Math" w:cs="Cambria Math" w:ascii="Cambria Math" w:hAnsi="Cambria Math"/>
        </w:rPr>
        <w:t xml:space="preserve">BI = </w:t>
      </w:r>
      <w:r>
        <w:rPr>
          <w:rFonts w:eastAsia="Cambria Math" w:cs="Cambria Math" w:ascii="Cambria Math" w:hAnsi="Cambria Math"/>
        </w:rPr>
        <mc:AlternateContent>
          <mc:Choice Requires="wpg">
            <w:drawing>
              <wp:inline distT="0" distB="0" distL="0" distR="0" wp14:anchorId="5F935D35">
                <wp:extent cx="660400" cy="13970"/>
                <wp:effectExtent l="0" t="0" r="0" b="0"/>
                <wp:docPr id="1" name="Фигура1"/>
                <a:graphic xmlns:a="http://schemas.openxmlformats.org/drawingml/2006/main">
                  <a:graphicData uri="http://schemas.microsoft.com/office/word/2010/wordprocessingGroup">
                    <wpg:wgp>
                      <wpg:cNvGrpSpPr/>
                      <wpg:grpSpPr>
                        <a:xfrm>
                          <a:off x="0" y="0"/>
                          <a:ext cx="659880" cy="13320"/>
                          <a:chOff x="0" y="-14040"/>
                          <a:chExt cx="659880" cy="13320"/>
                        </a:xfrm>
                      </wpg:grpSpPr>
                      <wps:wsp>
                        <wps:cNvSpPr/>
                        <wps:spPr>
                          <a:xfrm>
                            <a:off x="0" y="0"/>
                            <a:ext cx="659880" cy="13320"/>
                          </a:xfrm>
                          <a:custGeom>
                            <a:avLst/>
                            <a:gdLst/>
                            <a:ahLst/>
                            <a:rect l="l" t="t" r="r" b="b"/>
                            <a:pathLst>
                              <a:path w="658368" h="12192">
                                <a:moveTo>
                                  <a:pt x="0" y="0"/>
                                </a:moveTo>
                                <a:lnTo>
                                  <a:pt x="658368" y="0"/>
                                </a:lnTo>
                                <a:lnTo>
                                  <a:pt x="658368" y="12192"/>
                                </a:lnTo>
                                <a:lnTo>
                                  <a:pt x="0" y="12192"/>
                                </a:lnTo>
                                <a:lnTo>
                                  <a:pt x="0" y="0"/>
                                </a:lnTo>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Фигура1" style="position:absolute;margin-left:0pt;margin-top:-1.1pt;width:51.95pt;height:1.05pt" coordorigin="0,-22" coordsize="1039,21"/>
            </w:pict>
          </mc:Fallback>
        </mc:AlternateContent>
      </w:r>
      <w:r>
        <w:rPr>
          <w:rFonts w:eastAsia="Cambria Math" w:cs="Cambria Math" w:ascii="Cambria Math" w:hAnsi="Cambria Math"/>
        </w:rPr>
        <w:t xml:space="preserve"> ≥ 1 </w:t>
      </w:r>
      <w:r>
        <w:rPr/>
        <w:t xml:space="preserve">, где: </w:t>
      </w:r>
    </w:p>
    <w:p>
      <w:pPr>
        <w:pStyle w:val="Normal"/>
        <w:spacing w:lineRule="auto" w:line="240" w:before="0" w:after="235"/>
        <w:ind w:left="1404" w:right="0" w:hanging="10"/>
        <w:jc w:val="left"/>
        <w:rPr/>
      </w:pPr>
      <w:r>
        <w:rPr>
          <w:rFonts w:eastAsia="Cambria Math" w:cs="Cambria Math" w:ascii="Cambria Math" w:hAnsi="Cambria Math"/>
          <w:sz w:val="20"/>
        </w:rPr>
        <w:t>Инв</w:t>
      </w:r>
      <w:r>
        <w:rPr>
          <w:rFonts w:eastAsia="Cambria Math" w:cs="Cambria Math" w:ascii="Cambria Math" w:hAnsi="Cambria Math"/>
          <w:sz w:val="16"/>
        </w:rPr>
        <w:t>ибк</w:t>
      </w:r>
    </w:p>
    <w:p>
      <w:pPr>
        <w:pStyle w:val="Normal"/>
        <w:spacing w:lineRule="auto" w:line="240" w:before="0" w:after="31"/>
        <w:ind w:left="-15" w:right="90" w:firstLine="631"/>
        <w:rPr/>
      </w:pPr>
      <w:r>
        <w:rPr>
          <w:rFonts w:eastAsia="Cambria Math" w:cs="Cambria Math" w:ascii="Cambria Math" w:hAnsi="Cambria Math"/>
        </w:rPr>
        <w:t xml:space="preserve">BI </w:t>
      </w:r>
      <w:r>
        <w:rPr/>
        <w:t xml:space="preserve"> – соотношение объема привлеченных средств за счет внебюджетных источников в виде капитальных вложений при реализации инфраструктурного проекта, на 1 рубль бюджетных инвестиций в объекты инфраструктуры за счет инфраструктурного бюджетного кредита; </w:t>
      </w:r>
    </w:p>
    <w:p>
      <w:pPr>
        <w:pStyle w:val="Normal"/>
        <w:spacing w:lineRule="auto" w:line="240"/>
        <w:ind w:left="-15" w:right="90" w:firstLine="631"/>
        <w:rPr/>
      </w:pPr>
      <w:r>
        <w:rPr>
          <w:rFonts w:eastAsia="Cambria Math" w:cs="Cambria Math" w:ascii="Cambria Math" w:hAnsi="Cambria Math"/>
        </w:rPr>
        <w:t>Инв</w:t>
      </w:r>
      <w:r>
        <w:rPr>
          <w:rFonts w:eastAsia="Cambria Math" w:cs="Cambria Math" w:ascii="Cambria Math" w:hAnsi="Cambria Math"/>
          <w:vertAlign w:val="subscript"/>
        </w:rPr>
        <w:t>внебюдж</w:t>
      </w:r>
      <w:r>
        <w:rPr/>
        <w:t xml:space="preserve"> – объем привлеченных средств за счет внебюджетных источников в виде капитальных вложений при реализации инфраструктурного проекта, определяемый в соответствии с заявкой, тыс рублей; </w:t>
      </w:r>
    </w:p>
    <w:p>
      <w:pPr>
        <w:pStyle w:val="Normal"/>
        <w:spacing w:lineRule="auto" w:line="240"/>
        <w:ind w:left="-15" w:right="90" w:firstLine="631"/>
        <w:rPr/>
      </w:pPr>
      <w:r>
        <w:rPr>
          <w:rFonts w:eastAsia="Cambria Math" w:cs="Cambria Math" w:ascii="Cambria Math" w:hAnsi="Cambria Math"/>
        </w:rPr>
        <w:t>Инв</w:t>
      </w:r>
      <w:r>
        <w:rPr>
          <w:rFonts w:eastAsia="Cambria Math" w:cs="Cambria Math" w:ascii="Cambria Math" w:hAnsi="Cambria Math"/>
          <w:vertAlign w:val="subscript"/>
        </w:rPr>
        <w:t>ибк</w:t>
      </w:r>
      <w:r>
        <w:rPr/>
        <w:t xml:space="preserve"> – объем инвестиции в объекты инфраструктуры в рамках инфраструктурного проекта за счет средств инфраструктурного бюджетного кредита, определяемый в соответствии с заявкой, тыс рублей. </w:t>
      </w:r>
    </w:p>
    <w:p>
      <w:pPr>
        <w:pStyle w:val="Normal"/>
        <w:spacing w:lineRule="auto" w:line="240"/>
        <w:ind w:left="-15" w:right="90" w:firstLine="631"/>
        <w:rPr/>
      </w:pPr>
      <w:r>
        <w:rPr/>
        <w:t xml:space="preserve">7. Для подтверждения объема привлечения средств внебюджетных источников в виде капитальных вложений и проведения оценки социально-экономического эффекта инфраструктурного проекта в составе заявки предоставляются следующие документы: </w:t>
      </w:r>
    </w:p>
    <w:p>
      <w:pPr>
        <w:pStyle w:val="Normal"/>
        <w:spacing w:lineRule="auto" w:line="240"/>
        <w:ind w:left="-15" w:right="90" w:firstLine="698"/>
        <w:rPr/>
      </w:pPr>
      <w:r>
        <w:rPr/>
        <w:t>письмо государственной корпорации развития «ВЭБ.РФ» об участии</w:t>
        <w:br/>
        <w:t>в реализации инфраструктурного проекта, с указанием наименования проекта</w:t>
        <w:br/>
        <w:t xml:space="preserve">и основных параметров участия в финансировании инвестиционного проекта; финансовая модель инфраструктурного проекта; </w:t>
      </w:r>
    </w:p>
    <w:p>
      <w:pPr>
        <w:pStyle w:val="Normal"/>
        <w:spacing w:lineRule="auto" w:line="240"/>
        <w:ind w:left="-15" w:right="90" w:firstLine="698"/>
        <w:rPr/>
      </w:pPr>
      <w:r>
        <w:rPr/>
        <w:t>картографические материалы, отражающие расположение</w:t>
        <w:br/>
        <w:t>объектов инфраструктуры;</w:t>
      </w:r>
    </w:p>
    <w:p>
      <w:pPr>
        <w:pStyle w:val="Normal"/>
        <w:spacing w:lineRule="auto" w:line="240"/>
        <w:ind w:left="-15" w:right="90" w:firstLine="698"/>
        <w:rPr/>
      </w:pPr>
      <w:r>
        <w:rPr/>
        <w:t xml:space="preserve">бизнес-план инвестиционного проекта (при наличии). </w:t>
      </w:r>
    </w:p>
    <w:p>
      <w:pPr>
        <w:pStyle w:val="Normal"/>
        <w:spacing w:lineRule="auto" w:line="240"/>
        <w:ind w:left="-15" w:right="90" w:firstLine="698"/>
        <w:rPr/>
      </w:pPr>
      <w:r>
        <w:rPr/>
        <w:t>В случае отсутствия одного или нескольких вышеуказанных документов оценка соответствия инфраструктурных проектов требованиям, а также оценка целесообразности реализации инфраструктурного проекта с учетом оценки социально-экономического эффекта от его реализации, не производится.</w:t>
      </w:r>
    </w:p>
    <w:p>
      <w:pPr>
        <w:pStyle w:val="Normal"/>
        <w:spacing w:lineRule="auto" w:line="240"/>
        <w:ind w:left="-15" w:right="90" w:firstLine="698"/>
        <w:rPr/>
      </w:pPr>
      <w:r>
        <w:rPr/>
        <w:t>8. Заключение Министерства экономического развития Российской Федерации о соответствии инфраструктурных проектов требованиям, а также</w:t>
        <w:br/>
        <w:t>о целесообразности реализации инфраструктурного проекта с учетом оценки социально-экономического эффекта от его реализации, формируется</w:t>
        <w:br/>
        <w:t xml:space="preserve">в произвольной форме и содержит: </w:t>
      </w:r>
    </w:p>
    <w:p>
      <w:pPr>
        <w:pStyle w:val="Normal"/>
        <w:spacing w:lineRule="auto" w:line="240" w:before="0" w:after="0"/>
        <w:ind w:right="91" w:firstLine="697"/>
        <w:rPr/>
      </w:pPr>
      <w:r>
        <w:rPr/>
        <w:t xml:space="preserve">оценку значения показателя, предусмотренного пунктом 3 настоящей Методики; </w:t>
      </w:r>
    </w:p>
    <w:p>
      <w:pPr>
        <w:pStyle w:val="Normal"/>
        <w:spacing w:lineRule="auto" w:line="240" w:before="0" w:after="0"/>
        <w:ind w:right="91" w:firstLine="697"/>
        <w:rPr/>
      </w:pPr>
      <w:r>
        <w:rPr/>
        <w:t xml:space="preserve">оценку целесообразности реализации инфраструктурного проекта с учетом оценки социально-экономического эффекта от его реализации. </w:t>
      </w:r>
    </w:p>
    <w:p>
      <w:pPr>
        <w:pStyle w:val="Normal"/>
        <w:spacing w:lineRule="auto" w:line="240" w:before="0" w:after="0"/>
        <w:ind w:right="91" w:firstLine="697"/>
        <w:rPr/>
      </w:pPr>
      <w:r>
        <w:rPr/>
        <w:t xml:space="preserve">9. Оценка социально-экономического эффекта инфраструктурного проекта производится на основе:  </w:t>
      </w:r>
    </w:p>
    <w:p>
      <w:pPr>
        <w:pStyle w:val="Normal"/>
        <w:spacing w:lineRule="auto" w:line="240" w:before="0" w:after="0"/>
        <w:ind w:left="-15" w:right="91" w:firstLine="697"/>
        <w:rPr/>
      </w:pPr>
      <w:r>
        <w:rPr/>
        <w:t xml:space="preserve">прямого социально-экономического эффекта от реализации инфраструктурного проекта, определяемого на основании финансовой модели проекта, с учетом требований Приложения 1 к настоящей Методике и разделов </w:t>
      </w:r>
      <w:r>
        <w:rPr>
          <w:lang w:val="en-US"/>
        </w:rPr>
        <w:t>II</w:t>
      </w:r>
      <w:r>
        <w:rPr/>
        <w:br/>
        <w:t xml:space="preserve">и </w:t>
      </w:r>
      <w:r>
        <w:rPr>
          <w:lang w:val="en-US"/>
        </w:rPr>
        <w:t>III</w:t>
      </w:r>
      <w:r>
        <w:rPr/>
        <w:t xml:space="preserve"> постановления Правительства Российской Федерации от 26 ноября 2019 г.</w:t>
        <w:br/>
        <w:t>№ 1512 «Об утверждении методики оценки социально-экономических эффектов от проектов строительства (реконструкции) и эксплуатации объектов транспортной инфраструктуры, планируемых к реализации с привлечением средств федерального бюджета,  а также с предоставлением государственных гарантий Российской Федерации  и налоговых льгот».</w:t>
      </w:r>
    </w:p>
    <w:p>
      <w:pPr>
        <w:pStyle w:val="Normal"/>
        <w:spacing w:lineRule="auto" w:line="240"/>
        <w:ind w:left="-15" w:right="90" w:firstLine="698"/>
        <w:rPr/>
      </w:pPr>
      <w:r>
        <w:rPr/>
        <w:t xml:space="preserve">Косвенного социально-экономического эффекта от реализации инфраструктурного проекта, оцениваемого с учетом требований раздела </w:t>
      </w:r>
      <w:r>
        <w:rPr>
          <w:lang w:val="en-US"/>
        </w:rPr>
        <w:t>IV</w:t>
      </w:r>
      <w:r>
        <w:rPr/>
        <w:t xml:space="preserve"> постановления Правительства Российской Федерации от 26 ноября 2019 г. № 1512 «Об утверждении методики оценки социально-экономических эффектов от проектов строительства (реконструкции) и эксплуатации объектов транспортной инфраструктуры, планируемых к реализации с привлечением средств федерального бюджета,  а также с предоставлением государственных гарантий Российской Федерации  и налоговых льгот»;  </w:t>
      </w:r>
    </w:p>
    <w:p>
      <w:pPr>
        <w:pStyle w:val="Normal"/>
        <w:spacing w:lineRule="auto" w:line="240"/>
        <w:ind w:left="-15" w:right="90" w:firstLine="698"/>
        <w:rPr/>
      </w:pPr>
      <w:r>
        <w:rPr/>
        <w:t xml:space="preserve">косвенного социально-экономического эффекта от реализации инфраструктурного проекта, в случае увязки реализации инфраструктурного проекта со строительством жилой и (или) коммерческой недвижимости, с учетом положений Приложения 2 к настоящей Методике и заключения единого института развития в жилищной сфере. </w:t>
      </w:r>
    </w:p>
    <w:p>
      <w:pPr>
        <w:pStyle w:val="Normal"/>
        <w:spacing w:lineRule="auto" w:line="240" w:before="0" w:after="0"/>
        <w:ind w:right="0" w:firstLine="698"/>
        <w:rPr/>
      </w:pPr>
      <w:r>
        <w:rPr/>
        <w:t>В случае отсутствия увязки реализации инфраструктурного проекта со строительством жилой и (или) коммерческой недвижимости косвенный социально-экономического эффект от реализации инфраструктурного проекта может не рассчитываться. В рамках подаваемой заявки также могут быть рассчитаны иные косвенные социально-экономические эффекты от реализации инфраструктурного проекта.</w:t>
      </w:r>
    </w:p>
    <w:p>
      <w:pPr>
        <w:pStyle w:val="Normal"/>
        <w:spacing w:lineRule="auto" w:line="240" w:before="0" w:after="0"/>
        <w:ind w:right="0" w:firstLine="698"/>
        <w:rPr/>
      </w:pPr>
      <w:r>
        <w:rPr/>
        <w:t>10. В случае выполнения требования, предусмотренного пунктом 3  настоящей Методики, при условии достоверности и полноты сведений, содержащихся в заявке и обосновывающих документах, указанных  в пункте 4 настоящей Методики, а также положительных значений оценки социально-экономического эффекта от реализации инфраструктурного проекта</w:t>
        <w:br/>
        <w:t>в соответствии с пунктом 6 настоящей Методики, Министерством экономического развития Российской Федерации готовится заключение</w:t>
        <w:br/>
        <w:t>о соответствии инфраструктурных проектов требованиям, а также</w:t>
        <w:br/>
        <w:t xml:space="preserve">о целесообразности реализации инфраструктурного проекта, с учетом оценки социально-экономического эффекта от его реализации. </w:t>
      </w:r>
    </w:p>
    <w:p>
      <w:pPr>
        <w:pStyle w:val="Normal"/>
        <w:spacing w:lineRule="auto" w:line="240" w:before="0" w:after="0"/>
        <w:ind w:right="0" w:firstLine="698"/>
        <w:rPr/>
      </w:pPr>
      <w:r>
        <w:rPr/>
        <w:t xml:space="preserve">11. Заключение подписывается Министром экономического развития Российской Федерации или уполномоченным им должностным лицом. </w:t>
      </w:r>
    </w:p>
    <w:p>
      <w:pPr>
        <w:pStyle w:val="Normal"/>
        <w:spacing w:lineRule="auto" w:line="259" w:before="0" w:after="0"/>
        <w:ind w:right="0" w:hanging="0"/>
        <w:jc w:val="left"/>
        <w:rPr/>
      </w:pPr>
      <w:r>
        <w:rPr/>
      </w:r>
      <w:r>
        <w:br w:type="page"/>
      </w:r>
    </w:p>
    <w:p>
      <w:pPr>
        <w:pStyle w:val="Normal"/>
        <w:spacing w:lineRule="auto" w:line="240" w:before="0" w:after="0"/>
        <w:ind w:right="2" w:hanging="0"/>
        <w:jc w:val="center"/>
        <w:rPr>
          <w:b/>
          <w:b/>
          <w:bCs/>
          <w:szCs w:val="28"/>
        </w:rPr>
      </w:pPr>
      <w:r>
        <w:rPr>
          <w:b/>
          <w:bCs/>
          <w:szCs w:val="28"/>
        </w:rPr>
        <w:t>III. МЕТОДИКА</w:t>
      </w:r>
    </w:p>
    <w:p>
      <w:pPr>
        <w:pStyle w:val="Normal"/>
        <w:spacing w:lineRule="auto" w:line="240" w:before="0" w:after="0"/>
        <w:ind w:right="2" w:firstLine="709"/>
        <w:jc w:val="center"/>
        <w:rPr>
          <w:b/>
          <w:b/>
          <w:bCs/>
          <w:szCs w:val="28"/>
        </w:rPr>
      </w:pPr>
      <w:r>
        <w:rPr>
          <w:b/>
          <w:bCs/>
          <w:szCs w:val="28"/>
        </w:rPr>
        <w:t xml:space="preserve">подготовки заключения Министерства финансов Российской Федерации о соответствии инфраструктурного проекта требованию, предусмотренному подпунктом «б» пункта 42 Правил отбора, а также </w:t>
        <w:br/>
        <w:t xml:space="preserve">о соответствии параметров бюджета субъекта Российской Федерации </w:t>
        <w:br/>
        <w:t>и размера государственного долга субъекта Российской Федерации с учетом привлечения бюджетного кредита требованиям бюджетного законодательства Российской Федерации</w:t>
      </w:r>
    </w:p>
    <w:p>
      <w:pPr>
        <w:pStyle w:val="Normal"/>
        <w:spacing w:lineRule="auto" w:line="240" w:before="0" w:after="0"/>
        <w:ind w:right="2" w:firstLine="709"/>
        <w:jc w:val="center"/>
        <w:rPr>
          <w:b/>
          <w:b/>
          <w:bCs/>
          <w:szCs w:val="28"/>
        </w:rPr>
      </w:pPr>
      <w:r>
        <w:rPr>
          <w:b/>
          <w:bCs/>
          <w:szCs w:val="28"/>
        </w:rPr>
      </w:r>
    </w:p>
    <w:p>
      <w:pPr>
        <w:pStyle w:val="Style24"/>
        <w:shd w:val="clear" w:color="auto" w:fill="auto"/>
        <w:spacing w:lineRule="auto" w:line="240" w:before="0" w:after="0"/>
        <w:ind w:right="0" w:firstLine="567"/>
        <w:jc w:val="both"/>
        <w:rPr>
          <w:rStyle w:val="CharStyle3"/>
          <w:color w:val="000000"/>
          <w:sz w:val="28"/>
          <w:szCs w:val="28"/>
        </w:rPr>
      </w:pPr>
      <w:r>
        <w:rPr>
          <w:rStyle w:val="CharStyle3"/>
          <w:color w:val="000000"/>
          <w:sz w:val="28"/>
          <w:szCs w:val="28"/>
        </w:rPr>
        <w:t>12. Настоящая методика определяет порядок подготовки заключения Министерства финансов Российской Федерации о соответствии инфраструктурного проекта требованию, предусмотренному подпунктом «б» пункта 42 Правил, а также о соответствии параметров бюджета субъекта Российской Федерации и размера государственного долга субъекта Российской Федерации с учетом привлечения бюджетного кредита требованиям бюджетного законодательства Российской Федерации.</w:t>
      </w:r>
    </w:p>
    <w:p>
      <w:pPr>
        <w:pStyle w:val="Style24"/>
        <w:shd w:val="clear" w:color="auto" w:fill="auto"/>
        <w:spacing w:lineRule="auto" w:line="240" w:before="0" w:after="0"/>
        <w:ind w:right="0" w:firstLine="567"/>
        <w:jc w:val="both"/>
        <w:rPr>
          <w:rStyle w:val="CharStyle3"/>
          <w:color w:val="000000"/>
          <w:sz w:val="28"/>
          <w:szCs w:val="28"/>
        </w:rPr>
      </w:pPr>
      <w:r>
        <w:rPr>
          <w:rStyle w:val="CharStyle3"/>
          <w:color w:val="000000"/>
          <w:sz w:val="28"/>
          <w:szCs w:val="28"/>
        </w:rPr>
        <w:t>13. Оценка показателя (объем поступлений налоговых и неналоговых доходов от реализации инфраструктурного проекта и (или) инвестиционных проектов, для обеспечения реализации которых реализуется (планируется реализовывать) инфраструктурный проект (далее – инфраструктурный проект</w:t>
        <w:br/>
        <w:t>и (или) инвестиционный проект), в консолидированный бюджет субъекта Российской Федерации за период, составляющий 15 лет, превышает объем средств, направленных субъектом Российской Федерации на погашение и обслуживание бюджетного кредита из федерального бюджета бюджетам субъектов Российской Федерации на финансовое обеспечение реализации инфраструктурных проектов (далее – региональный эффект), осуществляется в соответствии с настоящей методикой.</w:t>
      </w:r>
    </w:p>
    <w:p>
      <w:pPr>
        <w:pStyle w:val="Style24"/>
        <w:shd w:val="clear" w:color="auto" w:fill="auto"/>
        <w:spacing w:lineRule="auto" w:line="240" w:before="0" w:after="0"/>
        <w:ind w:right="0" w:firstLine="567"/>
        <w:jc w:val="both"/>
        <w:rPr>
          <w:rStyle w:val="CharStyle3"/>
        </w:rPr>
      </w:pPr>
      <w:r>
        <w:rPr>
          <w:rStyle w:val="CharStyle3"/>
          <w:color w:val="000000"/>
          <w:sz w:val="28"/>
          <w:szCs w:val="28"/>
        </w:rPr>
        <w:t>14. При отборе инфраструктурных проектов и (или) инвестиционных проектов региональный эффект от реализации проектов оценивается по следующей формуле:</w:t>
      </w:r>
    </w:p>
    <w:p>
      <w:pPr>
        <w:pStyle w:val="Style24"/>
        <w:shd w:val="clear" w:color="auto" w:fill="auto"/>
        <w:spacing w:lineRule="auto" w:line="240" w:before="0" w:after="0"/>
        <w:ind w:left="709" w:right="20" w:hanging="0"/>
        <w:jc w:val="both"/>
        <w:rPr/>
      </w:pPr>
      <w:r>
        <w:rPr/>
      </w:r>
    </w:p>
    <w:p>
      <w:pPr>
        <w:pStyle w:val="Style24"/>
        <w:shd w:val="clear" w:color="auto" w:fill="auto"/>
        <w:spacing w:lineRule="auto" w:line="240" w:before="0" w:after="0"/>
        <w:ind w:left="4240" w:right="0" w:hanging="0"/>
        <w:jc w:val="left"/>
        <w:rPr>
          <w:rStyle w:val="CharStyle3"/>
          <w:color w:val="000000"/>
          <w:sz w:val="28"/>
          <w:szCs w:val="28"/>
        </w:rPr>
      </w:pPr>
      <w:r>
        <w:rPr>
          <w:rStyle w:val="CharStyle3"/>
          <w:color w:val="000000"/>
          <w:sz w:val="28"/>
          <w:szCs w:val="28"/>
        </w:rPr>
        <w:t>РЭ</w:t>
      </w:r>
      <w:r>
        <w:rPr>
          <w:rStyle w:val="CharStyle3"/>
          <w:color w:val="000000"/>
          <w:sz w:val="28"/>
          <w:szCs w:val="28"/>
          <w:vertAlign w:val="subscript"/>
          <w:lang w:val="en-US"/>
        </w:rPr>
        <w:t>i</w:t>
      </w:r>
      <w:r>
        <w:rPr>
          <w:rStyle w:val="CharStyle3"/>
          <w:color w:val="000000"/>
          <w:sz w:val="28"/>
          <w:szCs w:val="28"/>
        </w:rPr>
        <w:t xml:space="preserve"> = ННД</w:t>
      </w:r>
      <w:r>
        <w:rPr>
          <w:rStyle w:val="CharStyle3"/>
          <w:color w:val="000000"/>
          <w:sz w:val="28"/>
          <w:szCs w:val="28"/>
          <w:vertAlign w:val="subscript"/>
          <w:lang w:val="en-US"/>
        </w:rPr>
        <w:t>i</w:t>
      </w:r>
      <w:r>
        <w:rPr>
          <w:rStyle w:val="CharStyle3"/>
          <w:color w:val="000000"/>
          <w:sz w:val="28"/>
          <w:szCs w:val="28"/>
        </w:rPr>
        <w:t xml:space="preserve"> – Р</w:t>
      </w:r>
      <w:r>
        <w:rPr>
          <w:rStyle w:val="CharStyle3"/>
          <w:color w:val="000000"/>
          <w:sz w:val="28"/>
          <w:szCs w:val="28"/>
          <w:vertAlign w:val="subscript"/>
        </w:rPr>
        <w:t>i</w:t>
      </w:r>
      <w:r>
        <w:rPr>
          <w:rStyle w:val="CharStyle3"/>
          <w:color w:val="000000"/>
          <w:sz w:val="28"/>
          <w:szCs w:val="28"/>
        </w:rPr>
        <w:t>,</w:t>
      </w:r>
    </w:p>
    <w:p>
      <w:pPr>
        <w:pStyle w:val="Style24"/>
        <w:shd w:val="clear" w:color="auto" w:fill="auto"/>
        <w:spacing w:lineRule="auto" w:line="240" w:before="0" w:after="0"/>
        <w:ind w:left="4240" w:right="0" w:hanging="0"/>
        <w:jc w:val="left"/>
        <w:rPr/>
      </w:pPr>
      <w:r>
        <w:rPr/>
      </w:r>
    </w:p>
    <w:p>
      <w:pPr>
        <w:pStyle w:val="Style24"/>
        <w:shd w:val="clear" w:color="auto" w:fill="auto"/>
        <w:spacing w:lineRule="auto" w:line="240" w:before="0" w:after="0"/>
        <w:ind w:left="20" w:right="0" w:firstLine="560"/>
        <w:jc w:val="both"/>
        <w:rPr/>
      </w:pPr>
      <w:r>
        <w:rPr>
          <w:rStyle w:val="CharStyle3"/>
          <w:color w:val="000000"/>
          <w:sz w:val="28"/>
          <w:szCs w:val="28"/>
        </w:rPr>
        <w:t>где:</w:t>
      </w:r>
    </w:p>
    <w:p>
      <w:pPr>
        <w:pStyle w:val="Style24"/>
        <w:shd w:val="clear" w:color="auto" w:fill="auto"/>
        <w:spacing w:lineRule="auto" w:line="240" w:before="0" w:after="0"/>
        <w:ind w:left="20" w:right="20" w:firstLine="560"/>
        <w:jc w:val="both"/>
        <w:rPr/>
      </w:pPr>
      <w:r>
        <w:rPr>
          <w:rStyle w:val="CharStyle3"/>
          <w:color w:val="000000"/>
          <w:sz w:val="28"/>
          <w:szCs w:val="28"/>
          <w:lang w:val="en-US" w:eastAsia="en-US"/>
        </w:rPr>
        <w:t>P</w:t>
      </w:r>
      <w:r>
        <w:rPr>
          <w:rStyle w:val="CharStyle3"/>
          <w:color w:val="000000"/>
          <w:sz w:val="28"/>
          <w:szCs w:val="28"/>
          <w:lang w:eastAsia="en-US"/>
        </w:rPr>
        <w:t>Э</w:t>
      </w:r>
      <w:r>
        <w:rPr>
          <w:rStyle w:val="CharStyle3"/>
          <w:i/>
          <w:color w:val="000000"/>
          <w:sz w:val="28"/>
          <w:szCs w:val="28"/>
          <w:vertAlign w:val="subscript"/>
          <w:lang w:val="en-US" w:eastAsia="en-US"/>
        </w:rPr>
        <w:t>i</w:t>
      </w:r>
      <w:r>
        <w:rPr>
          <w:rStyle w:val="CharStyle3"/>
          <w:color w:val="000000"/>
          <w:sz w:val="28"/>
          <w:szCs w:val="28"/>
          <w:lang w:eastAsia="en-US"/>
        </w:rPr>
        <w:t xml:space="preserve"> –</w:t>
      </w:r>
      <w:r>
        <w:rPr>
          <w:rStyle w:val="CharStyle3"/>
          <w:color w:val="000000"/>
          <w:sz w:val="28"/>
          <w:szCs w:val="28"/>
        </w:rPr>
        <w:t xml:space="preserve"> региональной эффект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 при реализации инфраструктурных проектов и (или) инвестиционных проектов. Значение РЭ</w:t>
      </w:r>
      <w:r>
        <w:rPr>
          <w:rStyle w:val="CharStyle3"/>
          <w:i/>
          <w:color w:val="000000"/>
          <w:sz w:val="28"/>
          <w:szCs w:val="28"/>
          <w:vertAlign w:val="subscript"/>
        </w:rPr>
        <w:t>i</w:t>
      </w:r>
      <w:r>
        <w:rPr>
          <w:rStyle w:val="CharStyle3"/>
          <w:color w:val="000000"/>
          <w:sz w:val="28"/>
          <w:szCs w:val="28"/>
        </w:rPr>
        <w:t xml:space="preserve"> должно быть положительным;</w:t>
      </w:r>
    </w:p>
    <w:p>
      <w:pPr>
        <w:pStyle w:val="Style24"/>
        <w:shd w:val="clear" w:color="auto" w:fill="auto"/>
        <w:spacing w:lineRule="auto" w:line="240" w:before="0" w:after="0"/>
        <w:ind w:left="20" w:right="20" w:firstLine="560"/>
        <w:jc w:val="both"/>
        <w:rPr/>
      </w:pPr>
      <w:r>
        <w:rPr>
          <w:rStyle w:val="CharStyle3"/>
          <w:color w:val="000000"/>
          <w:sz w:val="28"/>
          <w:szCs w:val="28"/>
        </w:rPr>
        <w:t>ННД</w:t>
      </w:r>
      <w:r>
        <w:rPr>
          <w:rStyle w:val="CharStyle3"/>
          <w:i/>
          <w:color w:val="000000"/>
          <w:sz w:val="28"/>
          <w:szCs w:val="28"/>
          <w:lang w:val="en-US"/>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дополнительные налоговые и неналоговые доходы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rStyle w:val="CharStyle3"/>
          <w:color w:val="000000"/>
          <w:sz w:val="28"/>
          <w:szCs w:val="28"/>
        </w:rPr>
      </w:pPr>
      <w:r>
        <w:rPr>
          <w:rStyle w:val="CharStyle3"/>
          <w:color w:val="000000"/>
          <w:sz w:val="28"/>
          <w:szCs w:val="28"/>
        </w:rPr>
        <w:t>Р</w:t>
      </w:r>
      <w:r>
        <w:rPr>
          <w:rStyle w:val="CharStyle3"/>
          <w:color w:val="000000"/>
          <w:sz w:val="28"/>
          <w:szCs w:val="28"/>
          <w:vertAlign w:val="subscript"/>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объем средств, направленных </w:t>
      </w:r>
      <w:r>
        <w:rPr>
          <w:rStyle w:val="CharStyle3"/>
          <w:color w:val="000000"/>
          <w:sz w:val="28"/>
          <w:szCs w:val="28"/>
          <w:lang w:val="en-US" w:eastAsia="en-US"/>
        </w:rPr>
        <w:t>i</w:t>
      </w:r>
      <w:r>
        <w:rPr>
          <w:rStyle w:val="CharStyle3"/>
          <w:color w:val="000000"/>
          <w:sz w:val="28"/>
          <w:szCs w:val="28"/>
        </w:rPr>
        <w:t xml:space="preserve">-ым субъектом Российской Федерации </w:t>
        <w:br/>
        <w:t>на погашение и обслуживание бюджетного кредита из федерального бюджета бюджетам субъектов Российской Федерации на финансовое обеспечение реализации инфраструктурных проектов.</w:t>
      </w:r>
    </w:p>
    <w:p>
      <w:pPr>
        <w:pStyle w:val="Style24"/>
        <w:shd w:val="clear" w:color="auto" w:fill="auto"/>
        <w:spacing w:lineRule="auto" w:line="240" w:before="0" w:after="0"/>
        <w:ind w:left="20" w:right="20" w:firstLine="560"/>
        <w:jc w:val="both"/>
        <w:rPr/>
      </w:pPr>
      <w:r>
        <w:rPr>
          <w:rStyle w:val="CharStyle3"/>
          <w:color w:val="000000"/>
          <w:sz w:val="28"/>
          <w:szCs w:val="28"/>
        </w:rPr>
        <w:t>15. Поступления дополнительных налоговых и неналоговых доходов</w:t>
        <w:br/>
        <w:t>в консолидированный бюджет субъекта Российской Федерации при реализации инфраструктурных проектов и (или) инвестиционных проектов определяются по следующей формуле:</w:t>
      </w:r>
    </w:p>
    <w:p>
      <w:pPr>
        <w:pStyle w:val="Style24"/>
        <w:shd w:val="clear" w:color="auto" w:fill="auto"/>
        <w:spacing w:lineRule="auto" w:line="240" w:before="0" w:after="0"/>
        <w:ind w:left="1940" w:right="0" w:hanging="0"/>
        <w:jc w:val="left"/>
        <w:rPr>
          <w:rStyle w:val="CharStyle3"/>
          <w:color w:val="000000"/>
          <w:sz w:val="28"/>
          <w:szCs w:val="28"/>
        </w:rPr>
      </w:pPr>
      <w:r>
        <w:rPr>
          <w:color w:val="000000"/>
          <w:sz w:val="28"/>
          <w:szCs w:val="28"/>
        </w:rPr>
      </w:r>
    </w:p>
    <w:p>
      <w:pPr>
        <w:pStyle w:val="Style24"/>
        <w:shd w:val="clear" w:color="auto" w:fill="auto"/>
        <w:spacing w:lineRule="auto" w:line="240" w:before="0" w:after="0"/>
        <w:ind w:left="1940" w:right="0" w:hanging="0"/>
        <w:jc w:val="left"/>
        <w:rPr>
          <w:rStyle w:val="CharStyle3"/>
          <w:color w:val="000000"/>
          <w:sz w:val="28"/>
          <w:szCs w:val="28"/>
        </w:rPr>
      </w:pPr>
      <w:r>
        <w:rPr>
          <w:rStyle w:val="CharStyle3"/>
          <w:color w:val="000000"/>
          <w:sz w:val="28"/>
          <w:szCs w:val="28"/>
        </w:rPr>
        <w:t>ННД</w:t>
      </w:r>
      <w:r>
        <w:rPr>
          <w:rStyle w:val="CharStyle3"/>
          <w:color w:val="000000"/>
          <w:sz w:val="28"/>
          <w:szCs w:val="28"/>
          <w:vertAlign w:val="subscript"/>
          <w:lang w:val="en-US"/>
        </w:rPr>
        <w:t>i</w:t>
      </w:r>
      <w:r>
        <w:rPr>
          <w:rStyle w:val="CharStyle3"/>
          <w:color w:val="000000"/>
          <w:sz w:val="28"/>
          <w:szCs w:val="28"/>
        </w:rPr>
        <w:t xml:space="preserve"> = НП</w:t>
      </w:r>
      <w:r>
        <w:rPr>
          <w:rStyle w:val="CharStyle3"/>
          <w:color w:val="000000"/>
          <w:sz w:val="28"/>
          <w:szCs w:val="28"/>
          <w:vertAlign w:val="subscript"/>
          <w:lang w:val="en-US"/>
        </w:rPr>
        <w:t>i</w:t>
      </w:r>
      <w:r>
        <w:rPr>
          <w:rStyle w:val="CharStyle3"/>
          <w:color w:val="000000"/>
          <w:sz w:val="28"/>
          <w:szCs w:val="28"/>
        </w:rPr>
        <w:t>+НДФЛ</w:t>
      </w:r>
      <w:r>
        <w:rPr>
          <w:rStyle w:val="CharStyle3"/>
          <w:color w:val="000000"/>
          <w:sz w:val="28"/>
          <w:szCs w:val="28"/>
          <w:vertAlign w:val="subscript"/>
          <w:lang w:val="en-US"/>
        </w:rPr>
        <w:t>i</w:t>
      </w:r>
      <w:r>
        <w:rPr>
          <w:rStyle w:val="CharStyle3"/>
          <w:color w:val="000000"/>
          <w:sz w:val="28"/>
          <w:szCs w:val="28"/>
        </w:rPr>
        <w:t>+НИО</w:t>
      </w:r>
      <w:r>
        <w:rPr>
          <w:rStyle w:val="CharStyle3"/>
          <w:color w:val="000000"/>
          <w:sz w:val="28"/>
          <w:szCs w:val="28"/>
          <w:vertAlign w:val="subscript"/>
          <w:lang w:val="en-US"/>
        </w:rPr>
        <w:t>i</w:t>
      </w:r>
      <w:r>
        <w:rPr>
          <w:rStyle w:val="CharStyle3"/>
          <w:color w:val="000000"/>
          <w:sz w:val="28"/>
          <w:szCs w:val="28"/>
        </w:rPr>
        <w:t>+НИФЛ</w:t>
      </w:r>
      <w:r>
        <w:rPr>
          <w:rStyle w:val="CharStyle3"/>
          <w:color w:val="000000"/>
          <w:sz w:val="28"/>
          <w:szCs w:val="28"/>
          <w:vertAlign w:val="subscript"/>
          <w:lang w:val="en-US"/>
        </w:rPr>
        <w:t>i</w:t>
      </w:r>
      <w:r>
        <w:rPr>
          <w:rStyle w:val="CharStyle3"/>
          <w:color w:val="000000"/>
          <w:sz w:val="28"/>
          <w:szCs w:val="28"/>
        </w:rPr>
        <w:t>+ЗН</w:t>
      </w:r>
      <w:r>
        <w:rPr>
          <w:rStyle w:val="CharStyle3"/>
          <w:color w:val="000000"/>
          <w:sz w:val="28"/>
          <w:szCs w:val="28"/>
          <w:vertAlign w:val="subscript"/>
          <w:lang w:val="en-US"/>
        </w:rPr>
        <w:t>i</w:t>
      </w:r>
      <w:r>
        <w:rPr>
          <w:rStyle w:val="CharStyle3"/>
          <w:color w:val="000000"/>
          <w:sz w:val="28"/>
          <w:szCs w:val="28"/>
        </w:rPr>
        <w:t>+ПНД</w:t>
      </w:r>
      <w:r>
        <w:rPr>
          <w:rStyle w:val="CharStyle3"/>
          <w:color w:val="000000"/>
          <w:sz w:val="28"/>
          <w:szCs w:val="28"/>
          <w:vertAlign w:val="subscript"/>
          <w:lang w:val="en-US"/>
        </w:rPr>
        <w:t>i</w:t>
      </w:r>
      <w:r>
        <w:rPr>
          <w:rStyle w:val="CharStyle3"/>
          <w:color w:val="000000"/>
          <w:sz w:val="28"/>
          <w:szCs w:val="28"/>
        </w:rPr>
        <w:t>+НД</w:t>
      </w:r>
      <w:r>
        <w:rPr>
          <w:rStyle w:val="CharStyle3"/>
          <w:color w:val="000000"/>
          <w:sz w:val="28"/>
          <w:szCs w:val="28"/>
          <w:vertAlign w:val="subscript"/>
          <w:lang w:val="en-US"/>
        </w:rPr>
        <w:t>i</w:t>
      </w:r>
      <w:r>
        <w:rPr>
          <w:rStyle w:val="CharStyle3"/>
          <w:color w:val="000000"/>
          <w:sz w:val="28"/>
          <w:szCs w:val="28"/>
        </w:rPr>
        <w:t>,</w:t>
      </w:r>
    </w:p>
    <w:p>
      <w:pPr>
        <w:pStyle w:val="Style24"/>
        <w:shd w:val="clear" w:color="auto" w:fill="auto"/>
        <w:spacing w:lineRule="auto" w:line="240" w:before="0" w:after="0"/>
        <w:ind w:left="1940" w:right="0" w:hanging="0"/>
        <w:jc w:val="left"/>
        <w:rPr/>
      </w:pPr>
      <w:r>
        <w:rPr/>
      </w:r>
    </w:p>
    <w:p>
      <w:pPr>
        <w:pStyle w:val="Style24"/>
        <w:shd w:val="clear" w:color="auto" w:fill="auto"/>
        <w:spacing w:lineRule="auto" w:line="240" w:before="0" w:after="0"/>
        <w:ind w:left="20" w:right="0" w:firstLine="560"/>
        <w:jc w:val="both"/>
        <w:rPr/>
      </w:pPr>
      <w:r>
        <w:rPr>
          <w:rStyle w:val="CharStyle3"/>
          <w:color w:val="000000"/>
          <w:sz w:val="28"/>
          <w:szCs w:val="28"/>
        </w:rPr>
        <w:t>где:</w:t>
      </w:r>
    </w:p>
    <w:p>
      <w:pPr>
        <w:pStyle w:val="Style24"/>
        <w:shd w:val="clear" w:color="auto" w:fill="auto"/>
        <w:spacing w:lineRule="auto" w:line="240" w:before="0" w:after="0"/>
        <w:ind w:left="20" w:right="20" w:firstLine="560"/>
        <w:jc w:val="both"/>
        <w:rPr/>
      </w:pPr>
      <w:r>
        <w:rPr>
          <w:rStyle w:val="CharStyle3"/>
          <w:color w:val="000000"/>
          <w:sz w:val="28"/>
          <w:szCs w:val="28"/>
        </w:rPr>
        <w:t>ННД</w:t>
      </w:r>
      <w:r>
        <w:rPr>
          <w:rStyle w:val="CharStyle3"/>
          <w:color w:val="000000"/>
          <w:sz w:val="28"/>
          <w:szCs w:val="28"/>
          <w:vertAlign w:val="subscript"/>
          <w:lang w:val="en-US"/>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дополнительные поступления налоговых и неналоговых доходов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pPr>
      <w:r>
        <w:rPr>
          <w:rStyle w:val="CharStyle57"/>
          <w:color w:val="000000"/>
          <w:sz w:val="28"/>
          <w:szCs w:val="28"/>
        </w:rPr>
        <w:t>п</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период предоставления бюджетного кредита из федерального бюджета бюджетам субъектов Российской Федерации на финансовое обеспечение реализации инфраструктурных проектов;</w:t>
      </w:r>
    </w:p>
    <w:p>
      <w:pPr>
        <w:pStyle w:val="Style24"/>
        <w:shd w:val="clear" w:color="auto" w:fill="auto"/>
        <w:spacing w:lineRule="auto" w:line="240" w:before="0" w:after="0"/>
        <w:ind w:left="20" w:right="20" w:firstLine="560"/>
        <w:jc w:val="both"/>
        <w:rPr/>
      </w:pPr>
      <w:r>
        <w:rPr>
          <w:rStyle w:val="CharStyle3"/>
          <w:color w:val="000000"/>
          <w:sz w:val="28"/>
          <w:szCs w:val="28"/>
        </w:rPr>
        <w:t>НП</w:t>
      </w:r>
      <w:r>
        <w:rPr>
          <w:rStyle w:val="CharStyle3"/>
          <w:color w:val="000000"/>
          <w:sz w:val="28"/>
          <w:szCs w:val="28"/>
          <w:vertAlign w:val="subscript"/>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поступлений налога на прибыль организаций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НДФЛ</w:t>
      </w:r>
      <w:r>
        <w:rPr>
          <w:rStyle w:val="CharStyle3"/>
          <w:color w:val="000000"/>
          <w:sz w:val="28"/>
          <w:szCs w:val="28"/>
          <w:vertAlign w:val="subscript"/>
          <w:lang w:val="en-US"/>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поступлений налога на доходы физических лиц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Нио</w:t>
      </w:r>
      <w:r>
        <w:rPr>
          <w:rStyle w:val="CharStyle3"/>
          <w:color w:val="000000"/>
          <w:sz w:val="28"/>
          <w:szCs w:val="28"/>
          <w:vertAlign w:val="subscript"/>
          <w:lang w:val="en-US"/>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поступлений налога на имущество организаций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НИФЛ</w:t>
      </w:r>
      <w:r>
        <w:rPr>
          <w:rStyle w:val="CharStyle3"/>
          <w:color w:val="000000"/>
          <w:sz w:val="28"/>
          <w:szCs w:val="28"/>
          <w:vertAlign w:val="subscript"/>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поступлений налога на имущество физических лиц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ЗН</w:t>
      </w:r>
      <w:r>
        <w:rPr>
          <w:rStyle w:val="CharStyle3"/>
          <w:color w:val="000000"/>
          <w:sz w:val="28"/>
          <w:szCs w:val="28"/>
          <w:vertAlign w:val="subscript"/>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поступлений земельного налога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ПНД</w:t>
      </w:r>
      <w:r>
        <w:rPr>
          <w:rStyle w:val="CharStyle3"/>
          <w:color w:val="000000"/>
          <w:sz w:val="28"/>
          <w:szCs w:val="28"/>
          <w:vertAlign w:val="subscript"/>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прочих налоговых доходов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rStyle w:val="CharStyle3"/>
          <w:color w:val="000000"/>
          <w:sz w:val="28"/>
          <w:szCs w:val="28"/>
        </w:rPr>
      </w:pPr>
      <w:r>
        <w:rPr>
          <w:rStyle w:val="CharStyle3"/>
          <w:color w:val="000000"/>
          <w:sz w:val="28"/>
          <w:szCs w:val="28"/>
        </w:rPr>
        <w:t>НД</w:t>
      </w:r>
      <w:r>
        <w:rPr>
          <w:rStyle w:val="CharStyle3"/>
          <w:i/>
          <w:color w:val="000000"/>
          <w:sz w:val="28"/>
          <w:szCs w:val="28"/>
          <w:lang w:val="en-US"/>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общий объем неналоговых доходов консолидированного бюджета </w:t>
      </w:r>
      <w:r>
        <w:rPr>
          <w:rStyle w:val="CharStyle3"/>
          <w:color w:val="000000"/>
          <w:sz w:val="28"/>
          <w:szCs w:val="28"/>
          <w:lang w:val="en-US" w:eastAsia="en-US"/>
        </w:rPr>
        <w:t>i</w:t>
      </w:r>
      <w:r>
        <w:rPr>
          <w:rStyle w:val="CharStyle3"/>
          <w:color w:val="000000"/>
          <w:sz w:val="28"/>
          <w:szCs w:val="28"/>
          <w:lang w:eastAsia="en-US"/>
        </w:rPr>
        <w:t>-г</w:t>
      </w:r>
      <w:r>
        <w:rPr>
          <w:rStyle w:val="CharStyle3"/>
          <w:color w:val="000000"/>
          <w:sz w:val="28"/>
          <w:szCs w:val="28"/>
          <w:lang w:val="en-US" w:eastAsia="en-US"/>
        </w:rPr>
        <w:t>o</w:t>
      </w:r>
      <w:r>
        <w:rPr>
          <w:rStyle w:val="CharStyle3"/>
          <w:color w:val="000000"/>
          <w:sz w:val="28"/>
          <w:szCs w:val="28"/>
          <w:lang w:eastAsia="en-US"/>
        </w:rPr>
        <w:t xml:space="preserve"> </w:t>
      </w:r>
      <w:r>
        <w:rPr>
          <w:rStyle w:val="CharStyle3"/>
          <w:color w:val="000000"/>
          <w:sz w:val="28"/>
          <w:szCs w:val="28"/>
        </w:rPr>
        <w:t>субъекта Российской Федерации.</w:t>
      </w:r>
    </w:p>
    <w:p>
      <w:pPr>
        <w:pStyle w:val="Style24"/>
        <w:shd w:val="clear" w:color="auto" w:fill="auto"/>
        <w:spacing w:lineRule="auto" w:line="240" w:before="0" w:after="0"/>
        <w:ind w:left="20" w:right="20" w:firstLine="560"/>
        <w:jc w:val="both"/>
        <w:rPr>
          <w:rStyle w:val="CharStyle3"/>
          <w:color w:val="000000"/>
          <w:sz w:val="28"/>
          <w:szCs w:val="28"/>
        </w:rPr>
      </w:pPr>
      <w:r>
        <w:rPr>
          <w:rStyle w:val="CharStyle3"/>
          <w:color w:val="000000"/>
          <w:sz w:val="28"/>
          <w:szCs w:val="28"/>
        </w:rPr>
        <w:t>16. Поступления налоговых и неналоговых доходов в консолидированный бюджет субъекта Российской Федерации оцениваются на основании данных, предоставленных субъектами Российской Федерации исходя из двух этапов реализации проектов: этап строительства объектов и этап эксплуатации (в разрезе налоговых и неналоговых поступлений и по годам).</w:t>
      </w:r>
    </w:p>
    <w:p>
      <w:pPr>
        <w:pStyle w:val="Style24"/>
        <w:shd w:val="clear" w:color="auto" w:fill="auto"/>
        <w:spacing w:lineRule="auto" w:line="240" w:before="0" w:after="0"/>
        <w:ind w:left="20" w:right="20" w:firstLine="560"/>
        <w:jc w:val="both"/>
        <w:rPr/>
      </w:pPr>
      <w:r>
        <w:rPr>
          <w:rStyle w:val="CharStyle3"/>
          <w:color w:val="000000"/>
          <w:sz w:val="28"/>
          <w:szCs w:val="28"/>
        </w:rPr>
        <w:t>17. Министерством финансов Российской Федерации при подготовке заключения о соответствии инфраструктурных проектов и (или) инвестиционных проектов требованиям, предусмотренным Правилами, в части налоговых поступлений применяются следующие подходы.</w:t>
      </w:r>
    </w:p>
    <w:p>
      <w:pPr>
        <w:pStyle w:val="Style67"/>
        <w:shd w:val="clear" w:color="auto" w:fill="auto"/>
        <w:spacing w:lineRule="auto" w:line="240"/>
        <w:ind w:left="20" w:right="20" w:firstLine="560"/>
        <w:rPr/>
      </w:pPr>
      <w:r>
        <w:rPr>
          <w:rStyle w:val="CharStyle68"/>
          <w:color w:val="000000"/>
          <w:sz w:val="28"/>
          <w:szCs w:val="28"/>
        </w:rPr>
        <w:t>Этап строительства объектов</w:t>
      </w:r>
      <w:r>
        <w:rPr>
          <w:rStyle w:val="CharStyle69"/>
          <w:i w:val="false"/>
          <w:iCs w:val="false"/>
          <w:color w:val="000000"/>
          <w:sz w:val="28"/>
          <w:szCs w:val="28"/>
        </w:rPr>
        <w:t xml:space="preserve">, </w:t>
      </w:r>
      <w:r>
        <w:rPr>
          <w:rStyle w:val="CharStyle68"/>
          <w:color w:val="000000"/>
          <w:sz w:val="28"/>
          <w:szCs w:val="28"/>
        </w:rPr>
        <w:t>налоговые поступления в момент начала реализации проекта:</w:t>
      </w:r>
    </w:p>
    <w:p>
      <w:pPr>
        <w:pStyle w:val="Style70"/>
        <w:shd w:val="clear" w:color="auto" w:fill="auto"/>
        <w:tabs>
          <w:tab w:val="clear" w:pos="708"/>
          <w:tab w:val="left" w:pos="953" w:leader="none"/>
        </w:tabs>
        <w:spacing w:lineRule="auto" w:line="240"/>
        <w:ind w:left="20" w:right="0" w:firstLine="560"/>
        <w:rPr>
          <w:rStyle w:val="CharStyle71"/>
          <w:color w:val="000000"/>
          <w:sz w:val="28"/>
          <w:szCs w:val="28"/>
        </w:rPr>
      </w:pPr>
      <w:r>
        <w:rPr>
          <w:rStyle w:val="CharStyle71"/>
          <w:color w:val="000000"/>
          <w:sz w:val="28"/>
          <w:szCs w:val="28"/>
        </w:rPr>
        <w:t>а)</w:t>
        <w:tab/>
        <w:t>НДФЛ.</w:t>
      </w:r>
    </w:p>
    <w:p>
      <w:pPr>
        <w:pStyle w:val="Style70"/>
        <w:shd w:val="clear" w:color="auto" w:fill="auto"/>
        <w:tabs>
          <w:tab w:val="clear" w:pos="708"/>
          <w:tab w:val="left" w:pos="953" w:leader="none"/>
        </w:tabs>
        <w:spacing w:lineRule="auto" w:line="240"/>
        <w:ind w:left="20" w:right="0" w:firstLine="560"/>
        <w:rPr>
          <w:rStyle w:val="CharStyle3"/>
          <w:i w:val="false"/>
          <w:i w:val="false"/>
          <w:color w:val="000000"/>
          <w:sz w:val="28"/>
          <w:szCs w:val="28"/>
        </w:rPr>
      </w:pPr>
      <w:r>
        <w:rPr>
          <w:rStyle w:val="CharStyle3"/>
          <w:i w:val="false"/>
          <w:iCs w:val="false"/>
          <w:color w:val="000000"/>
          <w:sz w:val="28"/>
          <w:szCs w:val="28"/>
        </w:rPr>
        <w:t>1.1.</w:t>
      </w:r>
      <w:r>
        <w:rPr>
          <w:rStyle w:val="CharStyle3"/>
          <w:iCs w:val="false"/>
          <w:sz w:val="28"/>
          <w:szCs w:val="28"/>
        </w:rPr>
        <w:t xml:space="preserve"> </w:t>
      </w:r>
      <w:r>
        <w:rPr>
          <w:rStyle w:val="CharStyle3"/>
          <w:i w:val="false"/>
          <w:color w:val="000000"/>
          <w:sz w:val="28"/>
          <w:szCs w:val="28"/>
        </w:rPr>
        <w:t xml:space="preserve">Согласно данным проектно-сметной документации (технико- экономическое обоснование и (или) рабочая документация) (далее </w:t>
      </w:r>
      <w:r>
        <w:rPr>
          <w:rStyle w:val="CharStyle3"/>
          <w:i w:val="false"/>
          <w:color w:val="000000"/>
          <w:sz w:val="28"/>
          <w:szCs w:val="28"/>
          <w:lang w:eastAsia="en-US"/>
        </w:rPr>
        <w:t>–</w:t>
      </w:r>
      <w:r>
        <w:rPr>
          <w:rStyle w:val="CharStyle3"/>
          <w:i w:val="false"/>
          <w:color w:val="000000"/>
          <w:sz w:val="28"/>
          <w:szCs w:val="28"/>
        </w:rPr>
        <w:t xml:space="preserve"> ПСД).</w:t>
      </w:r>
    </w:p>
    <w:p>
      <w:pPr>
        <w:pStyle w:val="Style70"/>
        <w:shd w:val="clear" w:color="auto" w:fill="auto"/>
        <w:tabs>
          <w:tab w:val="clear" w:pos="708"/>
          <w:tab w:val="left" w:pos="953" w:leader="none"/>
        </w:tabs>
        <w:spacing w:lineRule="auto" w:line="240"/>
        <w:ind w:left="20" w:right="0" w:firstLine="560"/>
        <w:rPr>
          <w:i w:val="false"/>
          <w:i w:val="false"/>
        </w:rPr>
      </w:pPr>
      <w:r>
        <w:rPr>
          <w:rStyle w:val="CharStyle3"/>
          <w:i w:val="false"/>
          <w:color w:val="000000"/>
          <w:sz w:val="28"/>
          <w:szCs w:val="28"/>
        </w:rPr>
        <w:t>1.2. В случае отсутствия ПСД НДФЛ рассчитывается с учетом следующего подхода:</w:t>
      </w:r>
    </w:p>
    <w:p>
      <w:pPr>
        <w:pStyle w:val="Style24"/>
        <w:shd w:val="clear" w:color="auto" w:fill="auto"/>
        <w:spacing w:lineRule="auto" w:line="240" w:before="0" w:after="0"/>
        <w:ind w:left="20" w:right="20" w:firstLine="560"/>
        <w:jc w:val="both"/>
        <w:rPr/>
      </w:pPr>
      <w:r>
        <w:rPr>
          <w:rStyle w:val="CharStyle3"/>
          <w:color w:val="000000"/>
          <w:sz w:val="28"/>
          <w:szCs w:val="28"/>
        </w:rPr>
        <w:t xml:space="preserve">24 % объема строительно-монтажных работ (расчетный фонд оплаты труда </w:t>
      </w:r>
      <w:r>
        <w:rPr>
          <w:rStyle w:val="CharStyle3"/>
          <w:i/>
          <w:color w:val="000000"/>
          <w:szCs w:val="28"/>
        </w:rPr>
        <w:t>(без начислений в фонд оплаты труда)</w:t>
      </w:r>
      <w:r>
        <w:rPr>
          <w:rStyle w:val="CharStyle3"/>
          <w:color w:val="000000"/>
          <w:sz w:val="28"/>
          <w:szCs w:val="28"/>
        </w:rPr>
        <w:t>) * 13 % (ставка НДФЛ);</w:t>
      </w:r>
    </w:p>
    <w:p>
      <w:pPr>
        <w:pStyle w:val="Style70"/>
        <w:shd w:val="clear" w:color="auto" w:fill="auto"/>
        <w:spacing w:lineRule="auto" w:line="240"/>
        <w:ind w:left="20" w:right="0" w:firstLine="560"/>
        <w:rPr/>
      </w:pPr>
      <w:r>
        <w:rPr>
          <w:rStyle w:val="CharStyle71"/>
          <w:color w:val="000000"/>
          <w:sz w:val="28"/>
          <w:szCs w:val="28"/>
        </w:rPr>
        <w:t>б) налог на прибыль организаций.</w:t>
      </w:r>
    </w:p>
    <w:p>
      <w:pPr>
        <w:pStyle w:val="Style24"/>
        <w:shd w:val="clear" w:color="auto" w:fill="auto"/>
        <w:spacing w:lineRule="auto" w:line="240" w:before="0" w:after="0"/>
        <w:ind w:left="20" w:right="0" w:firstLine="560"/>
        <w:jc w:val="both"/>
        <w:rPr/>
      </w:pPr>
      <w:r>
        <w:rPr>
          <w:rStyle w:val="CharStyle3"/>
          <w:color w:val="000000"/>
          <w:sz w:val="28"/>
          <w:szCs w:val="28"/>
        </w:rPr>
        <w:t>Согласно данным субъекта Российской Федерации или данным ПСД;</w:t>
      </w:r>
    </w:p>
    <w:p>
      <w:pPr>
        <w:pStyle w:val="Style70"/>
        <w:shd w:val="clear" w:color="auto" w:fill="auto"/>
        <w:spacing w:lineRule="auto" w:line="240"/>
        <w:ind w:left="20" w:right="0" w:firstLine="560"/>
        <w:rPr/>
      </w:pPr>
      <w:r>
        <w:rPr>
          <w:rStyle w:val="CharStyle71"/>
          <w:color w:val="000000"/>
          <w:sz w:val="28"/>
          <w:szCs w:val="28"/>
        </w:rPr>
        <w:t>в) прочие налоговые доходы.</w:t>
      </w:r>
    </w:p>
    <w:p>
      <w:pPr>
        <w:pStyle w:val="Style24"/>
        <w:shd w:val="clear" w:color="auto" w:fill="auto"/>
        <w:spacing w:lineRule="auto" w:line="240" w:before="0" w:after="0"/>
        <w:ind w:left="20" w:right="20" w:firstLine="560"/>
        <w:jc w:val="both"/>
        <w:rPr/>
      </w:pPr>
      <w:r>
        <w:rPr>
          <w:rStyle w:val="CharStyle3"/>
          <w:color w:val="000000"/>
          <w:sz w:val="28"/>
          <w:szCs w:val="28"/>
        </w:rPr>
        <w:t>Объем поступлений прочих налоговых доходов консолидированного бюджета субъекта Российской Федерации (при их наличии на данном этапе) оценивается на основании данных ПСД или субъекта Российской Федерации.</w:t>
      </w:r>
    </w:p>
    <w:p>
      <w:pPr>
        <w:pStyle w:val="Style67"/>
        <w:shd w:val="clear" w:color="auto" w:fill="auto"/>
        <w:spacing w:lineRule="auto" w:line="240"/>
        <w:ind w:left="20" w:right="20" w:firstLine="560"/>
        <w:rPr/>
      </w:pPr>
      <w:r>
        <w:rPr>
          <w:rStyle w:val="CharStyle68"/>
          <w:color w:val="000000"/>
          <w:sz w:val="28"/>
          <w:szCs w:val="28"/>
        </w:rPr>
        <w:t>Этап эксплуатации</w:t>
      </w:r>
      <w:r>
        <w:rPr>
          <w:rStyle w:val="CharStyle69"/>
          <w:i w:val="false"/>
          <w:iCs w:val="false"/>
          <w:color w:val="000000"/>
          <w:sz w:val="28"/>
          <w:szCs w:val="28"/>
        </w:rPr>
        <w:t xml:space="preserve">, </w:t>
      </w:r>
      <w:r>
        <w:rPr>
          <w:rStyle w:val="CharStyle68"/>
          <w:color w:val="000000"/>
          <w:sz w:val="28"/>
          <w:szCs w:val="28"/>
        </w:rPr>
        <w:t>налоговые поступления от экономической деятельности на территории реализованных объектов:</w:t>
      </w:r>
    </w:p>
    <w:p>
      <w:pPr>
        <w:pStyle w:val="Style70"/>
        <w:shd w:val="clear" w:color="auto" w:fill="auto"/>
        <w:spacing w:lineRule="auto" w:line="240"/>
        <w:ind w:left="20" w:right="0" w:firstLine="560"/>
        <w:rPr/>
      </w:pPr>
      <w:r>
        <w:rPr>
          <w:rStyle w:val="CharStyle71"/>
          <w:color w:val="000000"/>
          <w:sz w:val="28"/>
          <w:szCs w:val="28"/>
        </w:rPr>
        <w:t>а) НДФЛ.</w:t>
      </w:r>
    </w:p>
    <w:p>
      <w:pPr>
        <w:pStyle w:val="Style24"/>
        <w:shd w:val="clear" w:color="auto" w:fill="auto"/>
        <w:spacing w:lineRule="auto" w:line="240" w:before="0" w:after="0"/>
        <w:ind w:left="20" w:right="0" w:firstLine="560"/>
        <w:jc w:val="both"/>
        <w:rPr/>
      </w:pPr>
      <w:r>
        <w:rPr>
          <w:rStyle w:val="CharStyle3"/>
          <w:color w:val="000000"/>
          <w:sz w:val="28"/>
          <w:szCs w:val="28"/>
        </w:rPr>
        <w:t>Объем поступлений рассчитывается с учетом следующего подхода:</w:t>
      </w:r>
    </w:p>
    <w:p>
      <w:pPr>
        <w:pStyle w:val="Style24"/>
        <w:shd w:val="clear" w:color="auto" w:fill="auto"/>
        <w:spacing w:lineRule="auto" w:line="240" w:before="0" w:after="0"/>
        <w:ind w:left="20" w:right="20" w:firstLine="560"/>
        <w:jc w:val="both"/>
        <w:rPr/>
      </w:pPr>
      <w:r>
        <w:rPr>
          <w:rStyle w:val="CharStyle3"/>
          <w:color w:val="000000"/>
          <w:sz w:val="28"/>
          <w:szCs w:val="28"/>
        </w:rPr>
        <w:t>Количество новых рабочих мест, подтвержденное Министерством экономического развития Российской Федерации, * средняя заработная плата по экономике муниципального образования * темп роста средней заработной платы по экономике = фонд оплаты труда * 13 % (ставка НДФЛ) * 12 месяцев.</w:t>
      </w:r>
    </w:p>
    <w:p>
      <w:pPr>
        <w:pStyle w:val="Style31"/>
        <w:shd w:val="clear" w:color="auto" w:fill="auto"/>
        <w:spacing w:lineRule="auto" w:line="240" w:before="0" w:after="0"/>
        <w:ind w:left="20" w:right="0" w:firstLine="560"/>
        <w:jc w:val="both"/>
        <w:rPr>
          <w:i w:val="false"/>
          <w:i w:val="false"/>
        </w:rPr>
      </w:pPr>
      <w:r>
        <w:rPr>
          <w:rStyle w:val="CharStyle72"/>
          <w:b/>
          <w:i/>
          <w:color w:val="000000"/>
          <w:sz w:val="28"/>
          <w:szCs w:val="28"/>
        </w:rPr>
        <w:t>Справочно:</w:t>
      </w:r>
    </w:p>
    <w:p>
      <w:pPr>
        <w:pStyle w:val="Style31"/>
        <w:shd w:val="clear" w:color="auto" w:fill="auto"/>
        <w:spacing w:lineRule="auto" w:line="240" w:before="0" w:after="0"/>
        <w:ind w:left="20" w:right="20" w:firstLine="560"/>
        <w:jc w:val="both"/>
        <w:rPr>
          <w:i w:val="false"/>
          <w:i w:val="false"/>
        </w:rPr>
      </w:pPr>
      <w:r>
        <w:rPr>
          <w:rStyle w:val="CharStyle72"/>
          <w:b/>
          <w:i/>
          <w:color w:val="000000"/>
          <w:sz w:val="28"/>
          <w:szCs w:val="28"/>
        </w:rPr>
        <w:t>информация по поступлениям НДФЛ в разрезе уровней бюджетной системы Российской Федерации: местный бюджет (15 % + региональный норматив), бюджет субъекта Российской Федерации (остаток поступлений);</w:t>
      </w:r>
    </w:p>
    <w:p>
      <w:pPr>
        <w:pStyle w:val="Style70"/>
        <w:shd w:val="clear" w:color="auto" w:fill="auto"/>
        <w:spacing w:lineRule="auto" w:line="240"/>
        <w:ind w:left="20" w:right="0" w:firstLine="560"/>
        <w:rPr/>
      </w:pPr>
      <w:r>
        <w:rPr>
          <w:rStyle w:val="CharStyle71"/>
          <w:color w:val="000000"/>
          <w:sz w:val="28"/>
          <w:szCs w:val="28"/>
        </w:rPr>
        <w:t>б) налог на имущество организаций.</w:t>
      </w:r>
    </w:p>
    <w:p>
      <w:pPr>
        <w:pStyle w:val="Style24"/>
        <w:shd w:val="clear" w:color="auto" w:fill="auto"/>
        <w:spacing w:lineRule="auto" w:line="240" w:before="0" w:after="0"/>
        <w:ind w:left="20" w:right="20" w:firstLine="560"/>
        <w:jc w:val="both"/>
        <w:rPr/>
      </w:pPr>
      <w:r>
        <w:rPr>
          <w:rStyle w:val="CharStyle3"/>
          <w:color w:val="000000"/>
          <w:sz w:val="28"/>
          <w:szCs w:val="28"/>
        </w:rPr>
        <w:t>Кадастровая стоимость объекта * 2 % (налоговая ставка при расчете налога</w:t>
        <w:br/>
        <w:t>от кадастровой стоимости объекта (или льготная налоговая ставка), устанавливается региональным законодательством).</w:t>
      </w:r>
    </w:p>
    <w:p>
      <w:pPr>
        <w:pStyle w:val="Style24"/>
        <w:shd w:val="clear" w:color="auto" w:fill="auto"/>
        <w:spacing w:lineRule="auto" w:line="240" w:before="0" w:after="0"/>
        <w:ind w:left="20" w:right="20" w:firstLine="560"/>
        <w:jc w:val="both"/>
        <w:rPr/>
      </w:pPr>
      <w:r>
        <w:rPr>
          <w:rStyle w:val="CharStyle3"/>
          <w:color w:val="000000"/>
          <w:sz w:val="28"/>
          <w:szCs w:val="28"/>
        </w:rPr>
        <w:t>При расчете налоговой базы исходя из балансовой стоимости применяется ставка 2,2 % (налоговая ставка при расчете налога от балансовой стоимости объекта (или льготная налоговая ставка) устанавливается региональным законодательством).</w:t>
      </w:r>
    </w:p>
    <w:p>
      <w:pPr>
        <w:pStyle w:val="Style24"/>
        <w:shd w:val="clear" w:color="auto" w:fill="auto"/>
        <w:spacing w:lineRule="auto" w:line="240" w:before="0" w:after="0"/>
        <w:ind w:left="20" w:right="0" w:firstLine="560"/>
        <w:jc w:val="both"/>
        <w:rPr/>
      </w:pPr>
      <w:r>
        <w:rPr>
          <w:rStyle w:val="CharStyle3"/>
          <w:color w:val="000000"/>
          <w:sz w:val="28"/>
          <w:szCs w:val="28"/>
        </w:rPr>
        <w:t>Оценивается исходя из планового ввода объекта в эксплуатацию по годам;</w:t>
      </w:r>
    </w:p>
    <w:p>
      <w:pPr>
        <w:pStyle w:val="Style70"/>
        <w:shd w:val="clear" w:color="auto" w:fill="auto"/>
        <w:spacing w:lineRule="auto" w:line="240"/>
        <w:ind w:left="20" w:right="0" w:firstLine="560"/>
        <w:rPr/>
      </w:pPr>
      <w:r>
        <w:rPr>
          <w:rStyle w:val="CharStyle71"/>
          <w:color w:val="000000"/>
          <w:sz w:val="28"/>
          <w:szCs w:val="28"/>
        </w:rPr>
        <w:t>в) налог на имущество физических лиц.</w:t>
      </w:r>
    </w:p>
    <w:p>
      <w:pPr>
        <w:pStyle w:val="Style24"/>
        <w:shd w:val="clear" w:color="auto" w:fill="auto"/>
        <w:spacing w:lineRule="auto" w:line="240" w:before="0" w:after="0"/>
        <w:ind w:left="20" w:right="20" w:firstLine="560"/>
        <w:jc w:val="both"/>
        <w:rPr/>
      </w:pPr>
      <w:r>
        <w:rPr>
          <w:rStyle w:val="CharStyle3"/>
          <w:color w:val="000000"/>
          <w:sz w:val="28"/>
          <w:szCs w:val="28"/>
        </w:rPr>
        <w:t xml:space="preserve">(Кадастровая стоимость объекта недвижимости </w:t>
      </w:r>
      <w:r>
        <w:rPr>
          <w:rStyle w:val="CharStyle57"/>
          <w:color w:val="000000"/>
          <w:sz w:val="28"/>
          <w:szCs w:val="28"/>
        </w:rPr>
        <w:t>(средняя стоимость по данному классу недвижимости и по району ее расположения)</w:t>
      </w:r>
      <w:r>
        <w:rPr>
          <w:rStyle w:val="CharStyle3"/>
          <w:color w:val="000000"/>
          <w:sz w:val="28"/>
          <w:szCs w:val="28"/>
        </w:rPr>
        <w:t xml:space="preserve"> / количество квадратных метров) * налоговая ставка </w:t>
      </w:r>
      <w:r>
        <w:rPr>
          <w:rStyle w:val="CharStyle57"/>
          <w:color w:val="000000"/>
          <w:sz w:val="28"/>
          <w:szCs w:val="28"/>
        </w:rPr>
        <w:t>(устанавливается нормативными правовыми актами представительных органов муниципальных образований)</w:t>
      </w:r>
      <w:r>
        <w:rPr>
          <w:rStyle w:val="CharStyle3"/>
          <w:color w:val="000000"/>
          <w:sz w:val="28"/>
          <w:szCs w:val="28"/>
        </w:rPr>
        <w:t xml:space="preserve"> * средний размер льгот по данному налогу по муниципальному образованию * количество метров по годам реализации.</w:t>
      </w:r>
    </w:p>
    <w:p>
      <w:pPr>
        <w:pStyle w:val="Style24"/>
        <w:shd w:val="clear" w:color="auto" w:fill="auto"/>
        <w:spacing w:lineRule="auto" w:line="240" w:before="0" w:after="0"/>
        <w:ind w:left="20" w:right="0" w:firstLine="560"/>
        <w:jc w:val="both"/>
        <w:rPr/>
      </w:pPr>
      <w:r>
        <w:rPr>
          <w:rStyle w:val="CharStyle3"/>
          <w:color w:val="000000"/>
          <w:sz w:val="28"/>
          <w:szCs w:val="28"/>
        </w:rPr>
        <w:t>Оценивается исходя из планового ввода жилья в эксплуатацию по годам;</w:t>
      </w:r>
    </w:p>
    <w:p>
      <w:pPr>
        <w:pStyle w:val="Style70"/>
        <w:shd w:val="clear" w:color="auto" w:fill="auto"/>
        <w:spacing w:lineRule="auto" w:line="240"/>
        <w:ind w:left="20" w:right="0" w:firstLine="560"/>
        <w:rPr/>
      </w:pPr>
      <w:r>
        <w:rPr>
          <w:rStyle w:val="CharStyle71"/>
          <w:color w:val="000000"/>
          <w:sz w:val="28"/>
          <w:szCs w:val="28"/>
        </w:rPr>
        <w:t>г) налог на прибыль организаций.</w:t>
      </w:r>
    </w:p>
    <w:p>
      <w:pPr>
        <w:pStyle w:val="Style24"/>
        <w:shd w:val="clear" w:color="auto" w:fill="auto"/>
        <w:spacing w:lineRule="auto" w:line="240" w:before="0" w:after="0"/>
        <w:ind w:left="20" w:right="20" w:firstLine="560"/>
        <w:jc w:val="both"/>
        <w:rPr/>
      </w:pPr>
      <w:r>
        <w:rPr>
          <w:rStyle w:val="CharStyle3"/>
          <w:color w:val="000000"/>
          <w:sz w:val="28"/>
          <w:szCs w:val="28"/>
        </w:rPr>
        <w:t>Объем поступлений налога на прибыль в случае жилищного строительства оценивается на основании заключения АО «ДОМ.РФ».</w:t>
      </w:r>
    </w:p>
    <w:p>
      <w:pPr>
        <w:pStyle w:val="Style24"/>
        <w:shd w:val="clear" w:color="auto" w:fill="auto"/>
        <w:spacing w:lineRule="auto" w:line="240" w:before="0" w:after="0"/>
        <w:ind w:left="20" w:right="0" w:firstLine="560"/>
        <w:jc w:val="both"/>
        <w:rPr/>
      </w:pPr>
      <w:r>
        <w:rPr>
          <w:rStyle w:val="CharStyle3"/>
          <w:color w:val="000000"/>
          <w:sz w:val="28"/>
          <w:szCs w:val="28"/>
        </w:rPr>
        <w:t xml:space="preserve">В иных случаях </w:t>
      </w:r>
      <w:r>
        <w:rPr>
          <w:spacing w:val="-6"/>
          <w:sz w:val="28"/>
          <w:szCs w:val="28"/>
        </w:rPr>
        <w:t>–</w:t>
      </w:r>
      <w:r>
        <w:rPr>
          <w:rStyle w:val="CharStyle3"/>
          <w:color w:val="000000"/>
          <w:sz w:val="28"/>
          <w:szCs w:val="28"/>
        </w:rPr>
        <w:t xml:space="preserve"> на основании данных субъекта Российской Федерации;</w:t>
      </w:r>
    </w:p>
    <w:p>
      <w:pPr>
        <w:pStyle w:val="Style70"/>
        <w:shd w:val="clear" w:color="auto" w:fill="auto"/>
        <w:spacing w:lineRule="auto" w:line="240"/>
        <w:ind w:left="20" w:right="0" w:firstLine="560"/>
        <w:rPr/>
      </w:pPr>
      <w:r>
        <w:rPr>
          <w:rStyle w:val="CharStyle71"/>
          <w:color w:val="000000"/>
          <w:sz w:val="28"/>
          <w:szCs w:val="28"/>
        </w:rPr>
        <w:t>д) земельный налог.</w:t>
      </w:r>
    </w:p>
    <w:p>
      <w:pPr>
        <w:pStyle w:val="Style24"/>
        <w:shd w:val="clear" w:color="auto" w:fill="auto"/>
        <w:spacing w:lineRule="auto" w:line="240" w:before="0" w:after="0"/>
        <w:ind w:left="20" w:right="20" w:firstLine="560"/>
        <w:jc w:val="both"/>
        <w:rPr/>
      </w:pPr>
      <w:r>
        <w:rPr>
          <w:rStyle w:val="CharStyle3"/>
          <w:color w:val="000000"/>
          <w:sz w:val="28"/>
          <w:szCs w:val="28"/>
        </w:rPr>
        <w:t xml:space="preserve">Кадастровая стоимость земельного участка </w:t>
      </w:r>
      <w:r>
        <w:rPr>
          <w:rStyle w:val="CharStyle57"/>
          <w:color w:val="000000"/>
          <w:sz w:val="28"/>
          <w:szCs w:val="28"/>
        </w:rPr>
        <w:t xml:space="preserve">(при наличии льготы в виде </w:t>
        <w:br/>
        <w:t>не облагаемой налогом суммы – за вычетом этой суммы)</w:t>
      </w:r>
      <w:r>
        <w:rPr>
          <w:rStyle w:val="CharStyle3"/>
          <w:color w:val="000000"/>
          <w:sz w:val="28"/>
          <w:szCs w:val="28"/>
        </w:rPr>
        <w:t xml:space="preserve"> * налоговая ставка, действующая на территории муниципального образования;</w:t>
      </w:r>
    </w:p>
    <w:p>
      <w:pPr>
        <w:pStyle w:val="Style70"/>
        <w:shd w:val="clear" w:color="auto" w:fill="auto"/>
        <w:spacing w:lineRule="auto" w:line="240"/>
        <w:ind w:left="20" w:right="0" w:firstLine="560"/>
        <w:rPr/>
      </w:pPr>
      <w:r>
        <w:rPr>
          <w:rStyle w:val="CharStyle71"/>
          <w:color w:val="000000"/>
          <w:sz w:val="28"/>
          <w:szCs w:val="28"/>
        </w:rPr>
        <w:t>е) прочие налоговые доходы.</w:t>
      </w:r>
    </w:p>
    <w:p>
      <w:pPr>
        <w:pStyle w:val="Style24"/>
        <w:shd w:val="clear" w:color="auto" w:fill="auto"/>
        <w:spacing w:lineRule="auto" w:line="240" w:before="0" w:after="0"/>
        <w:ind w:left="20" w:right="20" w:firstLine="560"/>
        <w:jc w:val="both"/>
        <w:rPr>
          <w:rStyle w:val="CharStyle3"/>
          <w:color w:val="000000"/>
          <w:sz w:val="28"/>
          <w:szCs w:val="28"/>
        </w:rPr>
      </w:pPr>
      <w:r>
        <w:rPr>
          <w:rStyle w:val="CharStyle3"/>
          <w:color w:val="000000"/>
          <w:sz w:val="28"/>
          <w:szCs w:val="28"/>
        </w:rPr>
        <w:t>Объем поступлений прочих налоговых доходов консолидированного бюджета субъекта Российской Федерации оценивается на основании данных 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18. Министерством финансов Российской Федерации при подготовке заключения о соответствии инфраструктурных проектов и (или) инвестиционных проектов требованиям, предусмотренным Правилами, в части неналоговых поступлений применяются следующие подходы:</w:t>
      </w:r>
    </w:p>
    <w:p>
      <w:pPr>
        <w:pStyle w:val="Style70"/>
        <w:shd w:val="clear" w:color="auto" w:fill="auto"/>
        <w:tabs>
          <w:tab w:val="clear" w:pos="708"/>
          <w:tab w:val="left" w:pos="1006" w:leader="none"/>
        </w:tabs>
        <w:spacing w:lineRule="auto" w:line="240"/>
        <w:ind w:left="20" w:right="20" w:firstLine="560"/>
        <w:rPr/>
      </w:pPr>
      <w:r>
        <w:rPr>
          <w:rStyle w:val="CharStyle71"/>
          <w:color w:val="000000"/>
          <w:sz w:val="28"/>
          <w:szCs w:val="28"/>
        </w:rPr>
        <w:t>а) доходы от использования имущества, находящегося в государственной</w:t>
        <w:br/>
        <w:t>и муниципальной собственности.</w:t>
      </w:r>
    </w:p>
    <w:p>
      <w:pPr>
        <w:pStyle w:val="Style24"/>
        <w:shd w:val="clear" w:color="auto" w:fill="auto"/>
        <w:spacing w:lineRule="auto" w:line="240" w:before="0" w:after="0"/>
        <w:ind w:left="20" w:right="20" w:firstLine="560"/>
        <w:jc w:val="both"/>
        <w:rPr/>
      </w:pPr>
      <w:r>
        <w:rPr>
          <w:rStyle w:val="CharStyle3"/>
          <w:color w:val="000000"/>
          <w:sz w:val="28"/>
          <w:szCs w:val="28"/>
        </w:rPr>
        <w:t>Средняя стоимость имущества (земельного участка) за кв. м. * количество квадратных метров имущества * арендная ставка, устанавливаемая муниципальным образованием / субъектом Российской Федерации (или средняя ставка по муниципальному образованию);</w:t>
      </w:r>
    </w:p>
    <w:p>
      <w:pPr>
        <w:pStyle w:val="Style70"/>
        <w:shd w:val="clear" w:color="auto" w:fill="auto"/>
        <w:spacing w:lineRule="auto" w:line="240"/>
        <w:ind w:left="20" w:right="0" w:firstLine="560"/>
        <w:rPr/>
      </w:pPr>
      <w:r>
        <w:rPr>
          <w:rStyle w:val="CharStyle71"/>
          <w:color w:val="000000"/>
          <w:sz w:val="28"/>
          <w:szCs w:val="28"/>
        </w:rPr>
        <w:t>б) доходы от продажи материальных и нематериальных активов.</w:t>
      </w:r>
    </w:p>
    <w:p>
      <w:pPr>
        <w:pStyle w:val="Style24"/>
        <w:shd w:val="clear" w:color="auto" w:fill="auto"/>
        <w:spacing w:lineRule="auto" w:line="240" w:before="0" w:after="0"/>
        <w:ind w:left="20" w:right="0" w:firstLine="560"/>
        <w:jc w:val="both"/>
        <w:rPr/>
      </w:pPr>
      <w:r>
        <w:rPr>
          <w:rStyle w:val="CharStyle3"/>
          <w:color w:val="000000"/>
          <w:sz w:val="28"/>
          <w:szCs w:val="28"/>
        </w:rPr>
        <w:t>Оценочная стоимость имущества;</w:t>
      </w:r>
    </w:p>
    <w:p>
      <w:pPr>
        <w:pStyle w:val="Style70"/>
        <w:shd w:val="clear" w:color="auto" w:fill="auto"/>
        <w:spacing w:lineRule="auto" w:line="240"/>
        <w:ind w:left="20" w:right="0" w:firstLine="560"/>
        <w:rPr/>
      </w:pPr>
      <w:r>
        <w:rPr>
          <w:rStyle w:val="CharStyle71"/>
          <w:color w:val="000000"/>
          <w:sz w:val="28"/>
          <w:szCs w:val="28"/>
        </w:rPr>
        <w:t>в) прочие неналоговые доходы.</w:t>
      </w:r>
    </w:p>
    <w:p>
      <w:pPr>
        <w:pStyle w:val="Style24"/>
        <w:shd w:val="clear" w:color="auto" w:fill="auto"/>
        <w:spacing w:lineRule="auto" w:line="240" w:before="0" w:after="0"/>
        <w:ind w:left="20" w:right="20" w:firstLine="560"/>
        <w:jc w:val="both"/>
        <w:rPr>
          <w:rStyle w:val="CharStyle3"/>
          <w:color w:val="000000"/>
          <w:sz w:val="28"/>
          <w:szCs w:val="28"/>
        </w:rPr>
      </w:pPr>
      <w:r>
        <w:rPr>
          <w:rStyle w:val="CharStyle3"/>
          <w:color w:val="000000"/>
          <w:sz w:val="28"/>
          <w:szCs w:val="28"/>
        </w:rPr>
        <w:t>Объем поступлений прочих неналоговых доходов консолидированного бюджета субъекта Российской Федерации оценивается на основании данных субъекта Российской Федерации.</w:t>
      </w:r>
    </w:p>
    <w:p>
      <w:pPr>
        <w:pStyle w:val="Style24"/>
        <w:shd w:val="clear" w:color="auto" w:fill="auto"/>
        <w:spacing w:lineRule="auto" w:line="240" w:before="0" w:after="0"/>
        <w:ind w:left="20" w:right="20" w:firstLine="560"/>
        <w:jc w:val="both"/>
        <w:rPr/>
      </w:pPr>
      <w:r>
        <w:rPr>
          <w:rStyle w:val="CharStyle3"/>
          <w:color w:val="000000"/>
          <w:sz w:val="28"/>
          <w:szCs w:val="28"/>
        </w:rPr>
        <w:t xml:space="preserve">19. Объем средств, направленных субъектом Российской Федерации </w:t>
        <w:br/>
        <w:t>на погашение и обслуживание бюджетного кредита из федерального бюджета бюджетам субъектов Российской Федерации на финансовое обеспечение реализации инфраструктурных проектов, определяется по следующей формуле:</w:t>
      </w:r>
    </w:p>
    <w:p>
      <w:pPr>
        <w:pStyle w:val="Style24"/>
        <w:shd w:val="clear" w:color="auto" w:fill="auto"/>
        <w:spacing w:lineRule="auto" w:line="240" w:before="0" w:after="0"/>
        <w:ind w:left="4340" w:right="0" w:hanging="0"/>
        <w:jc w:val="left"/>
        <w:rPr>
          <w:rStyle w:val="CharStyle3"/>
          <w:color w:val="000000"/>
          <w:sz w:val="28"/>
          <w:szCs w:val="28"/>
        </w:rPr>
      </w:pPr>
      <w:r>
        <w:rPr>
          <w:color w:val="000000"/>
          <w:sz w:val="28"/>
          <w:szCs w:val="28"/>
        </w:rPr>
      </w:r>
    </w:p>
    <w:p>
      <w:pPr>
        <w:pStyle w:val="Style24"/>
        <w:shd w:val="clear" w:color="auto" w:fill="auto"/>
        <w:spacing w:lineRule="auto" w:line="240" w:before="0" w:after="0"/>
        <w:ind w:left="4340" w:right="0" w:hanging="0"/>
        <w:jc w:val="left"/>
        <w:rPr/>
      </w:pPr>
      <w:r>
        <w:rPr>
          <w:rStyle w:val="CharStyle3"/>
          <w:color w:val="000000"/>
          <w:sz w:val="28"/>
          <w:szCs w:val="28"/>
        </w:rPr>
        <w:t>Р</w:t>
      </w:r>
      <w:r>
        <w:rPr>
          <w:rStyle w:val="CharStyle3"/>
          <w:color w:val="000000"/>
          <w:sz w:val="28"/>
          <w:szCs w:val="28"/>
          <w:vertAlign w:val="subscript"/>
          <w:lang w:val="en-US"/>
        </w:rPr>
        <w:t>i</w:t>
      </w:r>
      <w:r>
        <w:rPr>
          <w:rStyle w:val="CharStyle3"/>
          <w:color w:val="000000"/>
          <w:sz w:val="28"/>
          <w:szCs w:val="28"/>
        </w:rPr>
        <w:t xml:space="preserve"> = ПД + ОД,</w:t>
      </w:r>
    </w:p>
    <w:p>
      <w:pPr>
        <w:pStyle w:val="Style24"/>
        <w:shd w:val="clear" w:color="auto" w:fill="auto"/>
        <w:spacing w:lineRule="auto" w:line="240" w:before="0" w:after="0"/>
        <w:ind w:left="20" w:right="0" w:firstLine="560"/>
        <w:jc w:val="both"/>
        <w:rPr/>
      </w:pPr>
      <w:r>
        <w:rPr>
          <w:rStyle w:val="CharStyle3"/>
          <w:color w:val="000000"/>
          <w:sz w:val="28"/>
          <w:szCs w:val="28"/>
        </w:rPr>
        <w:t>где:</w:t>
      </w:r>
    </w:p>
    <w:p>
      <w:pPr>
        <w:pStyle w:val="Style24"/>
        <w:shd w:val="clear" w:color="auto" w:fill="auto"/>
        <w:spacing w:lineRule="auto" w:line="240" w:before="0" w:after="0"/>
        <w:ind w:left="20" w:right="20" w:firstLine="560"/>
        <w:jc w:val="both"/>
        <w:rPr/>
      </w:pPr>
      <w:r>
        <w:rPr>
          <w:rStyle w:val="CharStyle3"/>
          <w:color w:val="000000"/>
          <w:sz w:val="28"/>
          <w:szCs w:val="28"/>
        </w:rPr>
        <w:t>Р</w:t>
      </w:r>
      <w:r>
        <w:rPr>
          <w:rStyle w:val="CharStyle3"/>
          <w:color w:val="000000"/>
          <w:sz w:val="28"/>
          <w:szCs w:val="28"/>
          <w:vertAlign w:val="subscript"/>
          <w:lang w:val="en-US"/>
        </w:rPr>
        <w:t>i</w:t>
      </w:r>
      <w:r>
        <w:rPr>
          <w:rStyle w:val="CharStyle3"/>
          <w:color w:val="000000"/>
          <w:sz w:val="28"/>
          <w:szCs w:val="28"/>
        </w:rPr>
        <w:t xml:space="preserve"> </w:t>
      </w:r>
      <w:r>
        <w:rPr>
          <w:rStyle w:val="CharStyle3"/>
          <w:color w:val="000000"/>
          <w:sz w:val="28"/>
          <w:szCs w:val="28"/>
          <w:lang w:eastAsia="en-US"/>
        </w:rPr>
        <w:t>–</w:t>
      </w:r>
      <w:r>
        <w:rPr>
          <w:rStyle w:val="CharStyle3"/>
          <w:color w:val="000000"/>
          <w:sz w:val="28"/>
          <w:szCs w:val="28"/>
        </w:rPr>
        <w:t xml:space="preserve"> объем средств, направленных </w:t>
      </w:r>
      <w:r>
        <w:rPr>
          <w:rStyle w:val="CharStyle3"/>
          <w:color w:val="000000"/>
          <w:sz w:val="28"/>
          <w:szCs w:val="28"/>
          <w:lang w:val="en-US" w:eastAsia="en-US"/>
        </w:rPr>
        <w:t>i</w:t>
      </w:r>
      <w:r>
        <w:rPr>
          <w:rStyle w:val="CharStyle3"/>
          <w:color w:val="000000"/>
          <w:sz w:val="28"/>
          <w:szCs w:val="28"/>
        </w:rPr>
        <w:t xml:space="preserve">-ым субъектом Российской Федерации </w:t>
        <w:br/>
        <w:t>на погашение и обслуживание бюджетного кредита из федерального бюджета бюджетам субъектов Российской Федерации на финансовое обеспечение реализации инфраструктурных проектов;</w:t>
      </w:r>
    </w:p>
    <w:p>
      <w:pPr>
        <w:pStyle w:val="Style24"/>
        <w:shd w:val="clear" w:color="auto" w:fill="auto"/>
        <w:spacing w:lineRule="auto" w:line="240" w:before="0" w:after="0"/>
        <w:ind w:left="20" w:right="20" w:firstLine="560"/>
        <w:jc w:val="both"/>
        <w:rPr/>
      </w:pPr>
      <w:r>
        <w:rPr>
          <w:rStyle w:val="CharStyle3"/>
          <w:color w:val="000000"/>
          <w:sz w:val="28"/>
          <w:szCs w:val="28"/>
        </w:rPr>
        <w:t xml:space="preserve">ПД </w:t>
      </w:r>
      <w:r>
        <w:rPr>
          <w:rStyle w:val="CharStyle3"/>
          <w:color w:val="000000"/>
          <w:sz w:val="28"/>
          <w:szCs w:val="28"/>
          <w:lang w:eastAsia="en-US"/>
        </w:rPr>
        <w:t>–</w:t>
      </w:r>
      <w:r>
        <w:rPr>
          <w:rStyle w:val="CharStyle3"/>
          <w:color w:val="000000"/>
          <w:sz w:val="28"/>
          <w:szCs w:val="28"/>
        </w:rPr>
        <w:t xml:space="preserve"> объем средств, направ</w:t>
      </w:r>
      <w:bookmarkStart w:id="0" w:name="_GoBack"/>
      <w:bookmarkEnd w:id="0"/>
      <w:r>
        <w:rPr>
          <w:rStyle w:val="CharStyle3"/>
          <w:color w:val="000000"/>
          <w:sz w:val="28"/>
          <w:szCs w:val="28"/>
        </w:rPr>
        <w:t>ленных на погашение суммы основного долга по бюджетному кредиту из федерального бюджета бюджетам субъектов Российской Федерации на финансовое обеспечение реализации инфраструктурных проектов;</w:t>
      </w:r>
    </w:p>
    <w:p>
      <w:pPr>
        <w:pStyle w:val="Style24"/>
        <w:shd w:val="clear" w:color="auto" w:fill="auto"/>
        <w:spacing w:lineRule="auto" w:line="240" w:before="0" w:after="0"/>
        <w:ind w:left="20" w:right="20" w:firstLine="560"/>
        <w:jc w:val="both"/>
        <w:rPr>
          <w:rStyle w:val="CharStyle3"/>
          <w:color w:val="000000"/>
          <w:sz w:val="28"/>
          <w:szCs w:val="28"/>
        </w:rPr>
      </w:pPr>
      <w:r>
        <w:rPr>
          <w:rStyle w:val="CharStyle3"/>
          <w:color w:val="000000"/>
          <w:sz w:val="28"/>
          <w:szCs w:val="28"/>
        </w:rPr>
        <w:t xml:space="preserve">ОД </w:t>
      </w:r>
      <w:r>
        <w:rPr>
          <w:rStyle w:val="CharStyle3"/>
          <w:color w:val="000000"/>
          <w:sz w:val="28"/>
          <w:szCs w:val="28"/>
          <w:lang w:eastAsia="en-US"/>
        </w:rPr>
        <w:t>–</w:t>
      </w:r>
      <w:r>
        <w:rPr>
          <w:rStyle w:val="CharStyle3"/>
          <w:color w:val="000000"/>
          <w:sz w:val="28"/>
          <w:szCs w:val="28"/>
        </w:rPr>
        <w:t xml:space="preserve"> объем средств, направленных на обслуживание государственного долга региона, по ставке 3 % годовых.</w:t>
      </w:r>
    </w:p>
    <w:p>
      <w:pPr>
        <w:pStyle w:val="Style24"/>
        <w:shd w:val="clear" w:color="auto" w:fill="auto"/>
        <w:spacing w:lineRule="auto" w:line="240" w:before="0" w:after="0"/>
        <w:ind w:left="20" w:right="20" w:firstLine="560"/>
        <w:jc w:val="both"/>
        <w:rPr/>
      </w:pPr>
      <w:r>
        <w:rPr>
          <w:rStyle w:val="CharStyle3"/>
          <w:color w:val="000000"/>
          <w:sz w:val="28"/>
          <w:szCs w:val="28"/>
        </w:rPr>
        <w:t>20. Дополнительная информация, которую субъекту Российской Федерации необходимо представить:</w:t>
      </w:r>
    </w:p>
    <w:p>
      <w:pPr>
        <w:pStyle w:val="Style24"/>
        <w:shd w:val="clear" w:color="auto" w:fill="auto"/>
        <w:spacing w:lineRule="auto" w:line="240" w:before="0" w:after="0"/>
        <w:ind w:right="20" w:firstLine="567"/>
        <w:jc w:val="both"/>
        <w:rPr/>
      </w:pPr>
      <w:r>
        <w:rPr>
          <w:rStyle w:val="CharStyle3"/>
          <w:color w:val="000000"/>
          <w:sz w:val="28"/>
          <w:szCs w:val="28"/>
        </w:rPr>
        <w:t>информация по периоду реализации проектов (годы реализации) согласно ПСД;</w:t>
      </w:r>
    </w:p>
    <w:p>
      <w:pPr>
        <w:pStyle w:val="Style24"/>
        <w:shd w:val="clear" w:color="auto" w:fill="auto"/>
        <w:spacing w:lineRule="auto" w:line="240" w:before="0" w:after="0"/>
        <w:ind w:right="20" w:firstLine="567"/>
        <w:jc w:val="both"/>
        <w:rPr/>
      </w:pPr>
      <w:r>
        <w:rPr>
          <w:rStyle w:val="CharStyle3"/>
          <w:color w:val="000000"/>
          <w:sz w:val="28"/>
          <w:szCs w:val="28"/>
        </w:rPr>
        <w:t>количество создаваемых новых рабочих мест согласно ПСД в разрезе по ОКВЭД;</w:t>
      </w:r>
    </w:p>
    <w:p>
      <w:pPr>
        <w:pStyle w:val="Style24"/>
        <w:shd w:val="clear" w:color="auto" w:fill="auto"/>
        <w:spacing w:lineRule="auto" w:line="240" w:before="0" w:after="0"/>
        <w:ind w:right="20" w:firstLine="567"/>
        <w:jc w:val="both"/>
        <w:rPr>
          <w:rStyle w:val="CharStyle3"/>
        </w:rPr>
      </w:pPr>
      <w:r>
        <w:rPr>
          <w:rStyle w:val="CharStyle3"/>
          <w:color w:val="000000"/>
          <w:sz w:val="28"/>
          <w:szCs w:val="28"/>
        </w:rPr>
        <w:t>средний темп роста продаж недвижимого имущества физическим лицам согласно оценке субъекта Российской Федерации (применяется для оценки объемов продаж по годам).</w:t>
      </w:r>
    </w:p>
    <w:p>
      <w:pPr>
        <w:pStyle w:val="Normal"/>
        <w:spacing w:lineRule="auto" w:line="240" w:before="0" w:after="0"/>
        <w:ind w:right="0" w:firstLine="567"/>
        <w:rPr>
          <w:rStyle w:val="CharStyle3"/>
          <w:sz w:val="28"/>
          <w:szCs w:val="28"/>
        </w:rPr>
      </w:pPr>
      <w:r>
        <w:rPr>
          <w:rStyle w:val="CharStyle3"/>
          <w:sz w:val="28"/>
          <w:szCs w:val="28"/>
        </w:rPr>
        <w:t>Заключение Министерства финансов Российской Федерации о соответствии инфраструктурного проекта требованию, предусмотренному подпунктом «б» пункта 42</w:t>
      </w:r>
      <w:bookmarkStart w:id="1" w:name="_GoBack1"/>
      <w:bookmarkEnd w:id="1"/>
      <w:r>
        <w:rPr>
          <w:rStyle w:val="CharStyle3"/>
          <w:sz w:val="28"/>
          <w:szCs w:val="28"/>
        </w:rPr>
        <w:t xml:space="preserve"> Правил, а также о соответствии параметров бюджета субъекта Российской Федерации и размера государственного долга субъекта Российской Федерации с учетом привлечения бюджетного кредита требованиям бюджетного законодательства Российской Федерации подписывается Министром финансов Российской Федерации или уполномоченным им должностным лицом.</w:t>
      </w:r>
    </w:p>
    <w:p>
      <w:pPr>
        <w:pStyle w:val="Normal"/>
        <w:spacing w:lineRule="auto" w:line="259" w:before="0" w:after="160"/>
        <w:ind w:right="0" w:hanging="0"/>
        <w:jc w:val="left"/>
        <w:rPr>
          <w:rStyle w:val="CharStyle3"/>
          <w:sz w:val="28"/>
          <w:szCs w:val="28"/>
        </w:rPr>
      </w:pPr>
      <w:r>
        <w:rPr>
          <w:sz w:val="28"/>
          <w:szCs w:val="28"/>
        </w:rPr>
      </w:r>
      <w:r>
        <w:br w:type="page"/>
      </w:r>
    </w:p>
    <w:p>
      <w:pPr>
        <w:pStyle w:val="1"/>
        <w:numPr>
          <w:ilvl w:val="0"/>
          <w:numId w:val="0"/>
        </w:numPr>
        <w:ind w:left="4253" w:right="135" w:hanging="0"/>
        <w:jc w:val="both"/>
        <w:rPr>
          <w:b w:val="false"/>
          <w:b w:val="false"/>
        </w:rPr>
      </w:pPr>
      <w:r>
        <w:rPr/>
        <w:t>Приложение № 1 к Методике подготовки заключения Минэкономразвития России по результатам оценки соответствия инфраструктурного проекта требованиям, предусмотренным подпунктом «а» пункта 42 Правил, а также о целесообразности реализации инфраструктурного проекта</w:t>
        <w:br/>
        <w:t xml:space="preserve">с учетом социально-экономического эффекта от его реализации в соответствии с подпунктом «б» пункта 46 Правил </w:t>
      </w:r>
    </w:p>
    <w:p>
      <w:pPr>
        <w:pStyle w:val="Normal"/>
        <w:spacing w:lineRule="auto" w:line="240" w:before="0" w:after="135"/>
        <w:ind w:left="10" w:right="90" w:hanging="10"/>
        <w:jc w:val="right"/>
        <w:rPr/>
      </w:pPr>
      <w:r>
        <w:rPr/>
        <w:t xml:space="preserve"> </w:t>
      </w:r>
    </w:p>
    <w:p>
      <w:pPr>
        <w:pStyle w:val="1"/>
        <w:numPr>
          <w:ilvl w:val="0"/>
          <w:numId w:val="0"/>
        </w:numPr>
        <w:spacing w:before="0" w:after="154"/>
        <w:ind w:left="0" w:right="-45" w:hanging="0"/>
        <w:rPr/>
      </w:pPr>
      <w:r>
        <w:rPr/>
        <w:t xml:space="preserve">Требования к финансовой модели инфраструктурного проекта </w:t>
      </w:r>
    </w:p>
    <w:p>
      <w:pPr>
        <w:pStyle w:val="Normal"/>
        <w:spacing w:lineRule="auto" w:line="276"/>
        <w:ind w:left="-15" w:right="-45" w:firstLine="698"/>
        <w:rPr/>
      </w:pPr>
      <w:r>
        <w:rPr/>
        <w:t>1.</w:t>
      </w:r>
      <w:r>
        <w:rPr>
          <w:rFonts w:eastAsia="Arial" w:cs="Arial" w:ascii="Arial" w:hAnsi="Arial"/>
        </w:rPr>
        <w:t xml:space="preserve"> </w:t>
      </w:r>
      <w:r>
        <w:rPr/>
        <w:t xml:space="preserve">Финансовая модель должна содержать расчет эффективности проекта </w:t>
        <w:br/>
        <w:t xml:space="preserve">без привлечения средств инфраструктурного бюджетного кредита, а также </w:t>
        <w:br/>
        <w:t xml:space="preserve">с привлечением средств инфраструктурного бюджетного кредита.  </w:t>
      </w:r>
    </w:p>
    <w:p>
      <w:pPr>
        <w:pStyle w:val="Normal"/>
        <w:spacing w:lineRule="auto" w:line="276"/>
        <w:ind w:left="-15" w:right="-45" w:firstLine="698"/>
        <w:rPr/>
      </w:pPr>
      <w:r>
        <w:rPr/>
        <w:t xml:space="preserve">Для инфраструктурного проекта должны быть представлены следующие формы прогнозной финансовой отчетности: прогнозный отчет о движении денежных средств, прогнозный отчет о прибылях и убытках, прогнозный баланс. </w:t>
      </w:r>
    </w:p>
    <w:p>
      <w:pPr>
        <w:pStyle w:val="Normal"/>
        <w:spacing w:lineRule="auto" w:line="276"/>
        <w:ind w:left="-15" w:right="-45" w:firstLine="698"/>
        <w:rPr/>
      </w:pPr>
      <w:r>
        <w:rPr/>
        <w:t xml:space="preserve">Прогнозный отчет о прибылях и убытках должен быть составлен по методу начисления и содержать, в том числе, следующие финансовые показатели: выручка, валовая прибыль, валовая рентабельность, EBITDA (операционная прибыль до вычета амортизации, процентов и налогов), EBIT (операционная прибыль до вычета процентов и налогов), чистая прибыль, чистая рентабельность. Если в силу отраслевых или иных особенностей проекта данные показатели </w:t>
        <w:br/>
        <w:t xml:space="preserve">не представлены, следует указать факт и причины их отсутствия в описании </w:t>
        <w:br/>
        <w:t xml:space="preserve">к финансовой модели. </w:t>
      </w:r>
    </w:p>
    <w:p>
      <w:pPr>
        <w:pStyle w:val="Normal"/>
        <w:spacing w:lineRule="auto" w:line="276"/>
        <w:ind w:left="-15" w:right="-45" w:firstLine="698"/>
        <w:rPr/>
      </w:pPr>
      <w:r>
        <w:rPr/>
        <w:t xml:space="preserve">Прогнозный отчет о движении денежных средств должен включать денежные потоки от операционной, инвестиционной и финансовой деятельности. Денежные потоки, связанные с выплатой и получением процентов и дивидендов, должны быть раскрыты в отдельных строках. </w:t>
      </w:r>
    </w:p>
    <w:p>
      <w:pPr>
        <w:pStyle w:val="Normal"/>
        <w:spacing w:lineRule="auto" w:line="276"/>
        <w:ind w:left="-15" w:right="-45" w:firstLine="698"/>
        <w:rPr/>
      </w:pPr>
      <w:r>
        <w:rPr/>
        <w:t xml:space="preserve">Дополнительно должна быть приведена информация о свободных денежных потоках, доступных для обслуживания долга (CFADS). </w:t>
      </w:r>
    </w:p>
    <w:p>
      <w:pPr>
        <w:pStyle w:val="Normal"/>
        <w:spacing w:lineRule="auto" w:line="276"/>
        <w:ind w:left="-15" w:right="-45" w:firstLine="724"/>
        <w:rPr/>
      </w:pPr>
      <w:r>
        <w:rPr/>
        <w:t>2.</w:t>
      </w:r>
      <w:r>
        <w:rPr>
          <w:rFonts w:eastAsia="Arial" w:cs="Arial" w:ascii="Arial" w:hAnsi="Arial"/>
        </w:rPr>
        <w:t xml:space="preserve"> </w:t>
      </w:r>
      <w:r>
        <w:rPr/>
        <w:t xml:space="preserve">Финансовая модель должна обеспечивать расчет следующих видов эффективности: </w:t>
      </w:r>
    </w:p>
    <w:p>
      <w:pPr>
        <w:pStyle w:val="Normal"/>
        <w:spacing w:lineRule="auto" w:line="276" w:before="0" w:after="0"/>
        <w:ind w:left="703" w:right="-45" w:hanging="10"/>
        <w:jc w:val="left"/>
        <w:rPr/>
      </w:pPr>
      <w:r>
        <w:rPr/>
        <w:t xml:space="preserve">коммерческая эффективность проекта; </w:t>
      </w:r>
    </w:p>
    <w:p>
      <w:pPr>
        <w:pStyle w:val="Normal"/>
        <w:spacing w:lineRule="auto" w:line="276" w:before="0" w:after="0"/>
        <w:ind w:left="703" w:right="-45" w:hanging="10"/>
        <w:jc w:val="left"/>
        <w:rPr/>
      </w:pPr>
      <w:r>
        <w:rPr/>
        <w:t xml:space="preserve">бюджетная эффективность проекта; </w:t>
      </w:r>
    </w:p>
    <w:p>
      <w:pPr>
        <w:pStyle w:val="Normal"/>
        <w:spacing w:lineRule="auto" w:line="276" w:before="0" w:after="0"/>
        <w:ind w:left="703" w:right="-45" w:hanging="10"/>
        <w:jc w:val="left"/>
        <w:rPr/>
      </w:pPr>
      <w:r>
        <w:rPr/>
        <w:t xml:space="preserve">социально-экономическая эффективность проекта. </w:t>
      </w:r>
    </w:p>
    <w:p>
      <w:pPr>
        <w:pStyle w:val="Normal"/>
        <w:spacing w:lineRule="auto" w:line="276"/>
        <w:ind w:left="-15" w:right="-45" w:firstLine="698"/>
        <w:rPr/>
      </w:pPr>
      <w:r>
        <w:rPr/>
        <w:t xml:space="preserve">Показатели коммерческой эффективности проекта учитывают финансовые последствия его осуществления для инвестора. </w:t>
      </w:r>
    </w:p>
    <w:p>
      <w:pPr>
        <w:pStyle w:val="Normal"/>
        <w:spacing w:lineRule="auto" w:line="276"/>
        <w:ind w:left="-15" w:right="-45" w:firstLine="698"/>
        <w:rPr/>
      </w:pPr>
      <w:r>
        <w:rPr/>
        <w:t xml:space="preserve">Бюджетная эффективность реализации проекта отражает эффективность участия государства в проекте с точки зрения расходов и доходов бюджетов всех уровней, в том числе должны быть отдельно указаны налоговые отчисления </w:t>
        <w:br/>
        <w:t xml:space="preserve">в федеральный, региональный и местные бюджеты. </w:t>
      </w:r>
    </w:p>
    <w:p>
      <w:pPr>
        <w:pStyle w:val="Normal"/>
        <w:spacing w:lineRule="auto" w:line="276"/>
        <w:ind w:left="-15" w:right="-45" w:firstLine="698"/>
        <w:rPr/>
      </w:pPr>
      <w:r>
        <w:rPr/>
        <w:t xml:space="preserve">Финансовая модель инфраструктурного проекта должна обеспечивать расчет следующих показателей: </w:t>
      </w:r>
    </w:p>
    <w:p>
      <w:pPr>
        <w:pStyle w:val="Normal"/>
        <w:spacing w:lineRule="auto" w:line="276" w:before="0" w:after="0"/>
        <w:ind w:left="703" w:right="-45" w:hanging="10"/>
        <w:jc w:val="left"/>
        <w:rPr/>
      </w:pPr>
      <w:r>
        <w:rPr/>
        <w:t xml:space="preserve">чистая приведенная стоимость (NPV); внутренняя норма доходности (IRR); </w:t>
      </w:r>
    </w:p>
    <w:p>
      <w:pPr>
        <w:pStyle w:val="Normal"/>
        <w:spacing w:lineRule="auto" w:line="276" w:before="0" w:after="0"/>
        <w:ind w:left="703" w:right="3839" w:hanging="10"/>
        <w:jc w:val="left"/>
        <w:rPr/>
      </w:pPr>
      <w:r>
        <w:rPr/>
        <w:t xml:space="preserve">индекс прибыльности (RI); </w:t>
      </w:r>
    </w:p>
    <w:p>
      <w:pPr>
        <w:pStyle w:val="Normal"/>
        <w:spacing w:lineRule="auto" w:line="276"/>
        <w:ind w:left="708" w:right="1917" w:hanging="0"/>
        <w:rPr/>
      </w:pPr>
      <w:r>
        <w:rPr/>
        <w:t xml:space="preserve">дисконтированный срок окупаемости проекта (DPP); </w:t>
      </w:r>
    </w:p>
    <w:p>
      <w:pPr>
        <w:pStyle w:val="Normal"/>
        <w:spacing w:lineRule="auto" w:line="276"/>
        <w:ind w:left="708" w:right="1917" w:hanging="0"/>
        <w:rPr/>
      </w:pPr>
      <w:r>
        <w:rPr/>
        <w:t>индекс бюджетной эффективности (PI</w:t>
      </w:r>
      <w:r>
        <w:rPr>
          <w:vertAlign w:val="subscript"/>
        </w:rPr>
        <w:t>b</w:t>
      </w:r>
      <w:r>
        <w:rPr/>
        <w:t xml:space="preserve">). </w:t>
      </w:r>
    </w:p>
    <w:p>
      <w:pPr>
        <w:pStyle w:val="Normal"/>
        <w:numPr>
          <w:ilvl w:val="0"/>
          <w:numId w:val="3"/>
        </w:numPr>
        <w:spacing w:lineRule="auto" w:line="276"/>
        <w:ind w:right="-45" w:firstLine="709"/>
        <w:rPr/>
      </w:pPr>
      <w:r>
        <w:rPr/>
        <w:t xml:space="preserve">Моделирование денежных потоков, включающих все связанные </w:t>
        <w:br/>
        <w:t xml:space="preserve">с осуществлением проекта денежные поступления и расходы за расчетный период, критериев экономической и финансовой эффективности проекта осуществляется </w:t>
        <w:br/>
        <w:t xml:space="preserve">с учетом требований налогового и бюджетного законодательства, положений по бухгалтерскому учету, а также Методических рекомендации по оценке эффективности инвестиционных проектов, утвержденных Министерством экономики Российской Федерации, Министерством финансов Российской Федерации, Государственным комитетом Российской Федерации по строительной, архитектурной и жилищной политике 21 июня 1999 г. № ВК 477. </w:t>
      </w:r>
    </w:p>
    <w:p>
      <w:pPr>
        <w:pStyle w:val="Normal"/>
        <w:numPr>
          <w:ilvl w:val="0"/>
          <w:numId w:val="3"/>
        </w:numPr>
        <w:spacing w:lineRule="auto" w:line="276"/>
        <w:ind w:right="-45" w:firstLine="709"/>
        <w:rPr/>
      </w:pPr>
      <w:r>
        <w:rPr/>
        <w:t xml:space="preserve">Оценка эффективности должна включать сценарный анализ и анализ чувствительности показателей эффективности проекта к ключевым параметрам проекта (цены на продукцию, уровень загрузки мощностей, ставки дисконтирования и другое). На основании показателей эффективности осуществляется сравнение 2-х вариантов результатов расчета вышеприведенных критериев: с учетом средств инфраструктурного бюджетного кредита и без учета средств инфраструктурного бюджетного кредита, исходя из чего делаются выводы об экономической целесообразности реализации проекта и обоснование использования средств инфраструктурного бюджетного кредита. </w:t>
      </w:r>
    </w:p>
    <w:p>
      <w:pPr>
        <w:pStyle w:val="Normal"/>
        <w:spacing w:lineRule="auto" w:line="259" w:before="0" w:after="160"/>
        <w:ind w:right="0" w:hanging="0"/>
        <w:jc w:val="left"/>
        <w:rPr/>
      </w:pPr>
      <w:r>
        <w:rPr/>
      </w:r>
      <w:r>
        <w:br w:type="page"/>
      </w:r>
    </w:p>
    <w:p>
      <w:pPr>
        <w:pStyle w:val="Normal"/>
        <w:spacing w:lineRule="auto" w:line="259" w:before="0" w:after="135"/>
        <w:ind w:left="4395" w:right="90" w:hanging="10"/>
        <w:rPr>
          <w:b/>
          <w:b/>
        </w:rPr>
      </w:pPr>
      <w:r>
        <w:rPr>
          <w:b/>
        </w:rPr>
        <w:t>Приложение № 2 к Методике подготовки заключения Минэкономразвития России по результатам оценки соответствия инфраструктурного проекта требованиям, предусмотренным подпунктом «а» пункта 42 Правил, а также о целесообразности реализации инфраструктурного проекта</w:t>
        <w:br/>
        <w:t>с учетом социально-экономического эффекта от его реализации в соответствии с подпунктом «б» пункта 46 Правил</w:t>
      </w:r>
    </w:p>
    <w:p>
      <w:pPr>
        <w:pStyle w:val="Normal"/>
        <w:spacing w:lineRule="auto" w:line="259" w:before="0" w:after="131"/>
        <w:ind w:right="26" w:hanging="0"/>
        <w:jc w:val="right"/>
        <w:rPr/>
      </w:pPr>
      <w:r>
        <w:rPr/>
        <w:t xml:space="preserve"> </w:t>
      </w:r>
    </w:p>
    <w:p>
      <w:pPr>
        <w:pStyle w:val="1"/>
        <w:numPr>
          <w:ilvl w:val="0"/>
          <w:numId w:val="0"/>
        </w:numPr>
        <w:ind w:left="0" w:right="-45" w:hanging="0"/>
        <w:rPr/>
      </w:pPr>
      <w:r>
        <w:rPr/>
        <w:t>Оценка косвенного социально-экономического эффекта от реализации инфраструктурного проекта, в случае увязки со строительством жилой</w:t>
      </w:r>
    </w:p>
    <w:p>
      <w:pPr>
        <w:pStyle w:val="1"/>
        <w:numPr>
          <w:ilvl w:val="0"/>
          <w:numId w:val="0"/>
        </w:numPr>
        <w:ind w:left="0" w:right="-45" w:hanging="0"/>
        <w:rPr/>
      </w:pPr>
      <w:r>
        <w:rPr/>
        <w:t xml:space="preserve">и (или) коммерческой недвижимости </w:t>
      </w:r>
    </w:p>
    <w:p>
      <w:pPr>
        <w:pStyle w:val="Normal"/>
        <w:spacing w:lineRule="auto" w:line="259" w:before="0" w:after="0"/>
        <w:ind w:left="682" w:right="0" w:hanging="0"/>
        <w:jc w:val="center"/>
        <w:rPr/>
      </w:pPr>
      <w:r>
        <w:rPr>
          <w:b/>
        </w:rPr>
        <w:t xml:space="preserve"> </w:t>
      </w:r>
    </w:p>
    <w:p>
      <w:pPr>
        <w:pStyle w:val="Normal"/>
        <w:spacing w:lineRule="auto" w:line="276" w:before="0" w:after="106"/>
        <w:ind w:left="-15" w:right="-45" w:firstLine="698"/>
        <w:rPr/>
      </w:pPr>
      <w:r>
        <w:rPr/>
        <w:t>Косвенный социально-экономический эффект от реализации инфраструктурного проекта, в случае увязки со строительством жилой и (или) коммерческой недвижимости, представляет собой прирост валовой добавленной стоимости, создаваемый благодаря повышению цены недвижимости благодаря реализации инвестиционного проекта.</w:t>
      </w:r>
    </w:p>
    <w:p>
      <w:pPr>
        <w:pStyle w:val="Normal"/>
        <w:spacing w:lineRule="auto" w:line="276" w:before="0" w:after="106"/>
        <w:ind w:left="-15" w:right="-45" w:firstLine="698"/>
        <w:rPr/>
      </w:pPr>
      <w:r>
        <w:rPr/>
        <w:t xml:space="preserve">1. Прирост валовой добавленной стоимости для объектов недвижимости жилищного фонда в рамках прямого эффекта на инвестиционной стадии инфраструктурного проекта </w:t>
      </w:r>
      <w:r>
        <w:rPr>
          <w:rFonts w:eastAsia="等线" w:eastAsiaTheme="minorEastAsia"/>
          <w:color w:val="auto"/>
          <w:szCs w:val="28"/>
        </w:rPr>
        <w:t xml:space="preserve">в ценах, приведенных к базовому году, </w:t>
      </w:r>
      <w:r>
        <w:rPr/>
        <w:t xml:space="preserve">определяется по формуле: </w:t>
      </w:r>
    </w:p>
    <w:p>
      <w:pPr>
        <w:pStyle w:val="Normal"/>
        <w:spacing w:lineRule="auto" w:line="240" w:before="0" w:after="106"/>
        <w:ind w:left="-15" w:right="90" w:firstLine="698"/>
        <w:rPr/>
      </w:pPr>
      <w:r>
        <w:rPr/>
      </w:r>
    </w:p>
    <w:p>
      <w:pPr>
        <w:pStyle w:val="Normal"/>
        <w:spacing w:before="0" w:after="106"/>
        <w:ind w:left="-15" w:right="90" w:firstLine="698"/>
        <w:jc w:val="center"/>
        <w:rPr/>
      </w:pPr>
      <w:r>
        <w:rPr/>
      </w:r>
      <m:oMathPara xmlns:m="http://schemas.openxmlformats.org/officeDocument/2006/math">
        <m:oMathParaPr>
          <m:jc m:val="center"/>
        </m:oMathParaPr>
        <m:oMath>
          <m:sSubSup>
            <m:e>
              <m:r>
                <w:rPr>
                  <w:rFonts w:ascii="Cambria Math" w:hAnsi="Cambria Math"/>
                </w:rPr>
                <m:t xml:space="preserve">ВДС</m:t>
              </m:r>
            </m:e>
            <m:sub/>
            <m:sup>
              <m:r>
                <w:rPr>
                  <w:rFonts w:ascii="Cambria Math" w:hAnsi="Cambria Math"/>
                </w:rPr>
                <m:t xml:space="preserve">б</m:t>
              </m:r>
            </m:sup>
          </m:sSubSup>
          <m:r>
            <w:rPr>
              <w:rFonts w:ascii="Cambria Math" w:hAnsi="Cambria Math"/>
            </w:rPr>
            <m:t xml:space="preserve">=</m:t>
          </m:r>
          <m:nary>
            <m:naryPr>
              <m:chr m:val="∑"/>
            </m:naryPr>
            <m:sub>
              <m:r>
                <w:rPr>
                  <w:rFonts w:ascii="Cambria Math" w:hAnsi="Cambria Math"/>
                </w:rPr>
                <m:t xml:space="preserve">t</m:t>
              </m:r>
              <m:r>
                <w:rPr>
                  <w:rFonts w:ascii="Cambria Math" w:hAnsi="Cambria Math"/>
                </w:rPr>
                <m:t xml:space="preserve">=</m:t>
              </m:r>
              <m:r>
                <w:rPr>
                  <w:rFonts w:ascii="Cambria Math" w:hAnsi="Cambria Math"/>
                </w:rPr>
                <m:t xml:space="preserve">a</m:t>
              </m:r>
            </m:sub>
            <m:sup>
              <m:r>
                <w:rPr>
                  <w:rFonts w:ascii="Cambria Math" w:hAnsi="Cambria Math"/>
                </w:rPr>
                <m:t xml:space="preserve">T</m:t>
              </m:r>
            </m:sup>
            <m:e>
              <m:f>
                <m:num>
                  <m:sSubSup>
                    <m:e>
                      <m:r>
                        <w:rPr>
                          <w:rFonts w:ascii="Cambria Math" w:hAnsi="Cambria Math"/>
                        </w:rPr>
                        <m:t xml:space="preserve">ВДС</m:t>
                      </m:r>
                    </m:e>
                    <m:sub/>
                    <m:sup>
                      <m:r>
                        <w:rPr>
                          <w:rFonts w:ascii="Cambria Math" w:hAnsi="Cambria Math"/>
                        </w:rPr>
                        <m:t xml:space="preserve">t</m:t>
                      </m:r>
                    </m:sup>
                  </m:sSubSup>
                </m:num>
                <m:den>
                  <m:sSup>
                    <m:e>
                      <m:d>
                        <m:dPr>
                          <m:begChr m:val="("/>
                          <m:endChr m:val=")"/>
                        </m:dPr>
                        <m:e>
                          <m:r>
                            <w:rPr>
                              <w:rFonts w:ascii="Cambria Math" w:hAnsi="Cambria Math"/>
                            </w:rPr>
                            <m:t xml:space="preserve">1</m:t>
                          </m:r>
                          <m:r>
                            <w:rPr>
                              <w:rFonts w:ascii="Cambria Math" w:hAnsi="Cambria Math"/>
                            </w:rPr>
                            <m:t xml:space="preserve">+</m:t>
                          </m:r>
                          <m:r>
                            <w:rPr>
                              <w:rFonts w:ascii="Cambria Math" w:hAnsi="Cambria Math"/>
                            </w:rPr>
                            <m:t xml:space="preserve">rb</m:t>
                          </m:r>
                        </m:e>
                      </m:d>
                    </m:e>
                    <m:sup>
                      <m:d>
                        <m:dPr>
                          <m:begChr m:val="("/>
                          <m:endChr m:val=")"/>
                        </m:dPr>
                        <m:e>
                          <m:r>
                            <w:rPr>
                              <w:rFonts w:ascii="Cambria Math" w:hAnsi="Cambria Math"/>
                            </w:rPr>
                            <m:t xml:space="preserve">t</m:t>
                          </m:r>
                          <m:r>
                            <w:rPr>
                              <w:rFonts w:ascii="Cambria Math" w:hAnsi="Cambria Math"/>
                            </w:rPr>
                            <m:t xml:space="preserve">−</m:t>
                          </m:r>
                          <m:r>
                            <w:rPr>
                              <w:rFonts w:ascii="Cambria Math" w:hAnsi="Cambria Math"/>
                            </w:rPr>
                            <m:t xml:space="preserve">n</m:t>
                          </m:r>
                          <m:r>
                            <w:rPr>
                              <w:rFonts w:ascii="Cambria Math" w:hAnsi="Cambria Math"/>
                            </w:rPr>
                            <m:t xml:space="preserve">+</m:t>
                          </m:r>
                          <m:r>
                            <w:rPr>
                              <w:rFonts w:ascii="Cambria Math" w:hAnsi="Cambria Math"/>
                            </w:rPr>
                            <m:t xml:space="preserve">0,5</m:t>
                          </m:r>
                        </m:e>
                      </m:d>
                    </m:sup>
                  </m:sSup>
                </m:den>
              </m:f>
            </m:e>
          </m:nary>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где:</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T </w:t>
      </w:r>
      <w:r>
        <w:rPr>
          <w:rStyle w:val="CharStyle3"/>
          <w:sz w:val="28"/>
          <w:szCs w:val="28"/>
          <w:lang w:eastAsia="en-US"/>
        </w:rPr>
        <w:t>–</w:t>
      </w:r>
      <w:r>
        <w:rPr/>
        <w:t xml:space="preserve"> последний год реализации инфраструктурного проекта;</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t </w:t>
      </w:r>
      <w:r>
        <w:rPr>
          <w:rStyle w:val="CharStyle3"/>
          <w:sz w:val="28"/>
          <w:szCs w:val="28"/>
          <w:lang w:eastAsia="en-US"/>
        </w:rPr>
        <w:t>–</w:t>
      </w:r>
      <w:r>
        <w:rPr/>
        <w:t xml:space="preserve"> календарный год реализации инфраструктурного проекта, t ϵ [a; Т];</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a </w:t>
      </w:r>
      <w:r>
        <w:rPr>
          <w:rStyle w:val="CharStyle3"/>
          <w:sz w:val="28"/>
          <w:szCs w:val="28"/>
          <w:lang w:eastAsia="en-US"/>
        </w:rPr>
        <w:t>–</w:t>
      </w:r>
      <w:r>
        <w:rPr/>
        <w:t xml:space="preserve"> первый год реализации инфраструктурного проекта;</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r>
      <m:oMath xmlns:m="http://schemas.openxmlformats.org/officeDocument/2006/math">
        <m:sSubSup>
          <m:e>
            <m:r>
              <w:rPr>
                <w:rFonts w:ascii="Cambria Math" w:hAnsi="Cambria Math"/>
              </w:rPr>
              <m:t xml:space="preserve">ВДС</m:t>
            </m:r>
          </m:e>
          <m:sub/>
          <m:sup>
            <m:r>
              <w:rPr>
                <w:rFonts w:ascii="Cambria Math" w:hAnsi="Cambria Math"/>
              </w:rPr>
              <m:t xml:space="preserve">t</m:t>
            </m:r>
          </m:sup>
        </m:sSubSup>
      </m:oMath>
      <w:r>
        <w:rPr/>
        <w:t xml:space="preserve"> </w:t>
      </w:r>
      <w:r>
        <w:rPr>
          <w:rStyle w:val="CharStyle3"/>
          <w:sz w:val="28"/>
          <w:szCs w:val="28"/>
          <w:lang w:eastAsia="en-US"/>
        </w:rPr>
        <w:t>–</w:t>
      </w:r>
      <w:r>
        <w:rPr/>
        <w:t xml:space="preserve"> </w:t>
      </w:r>
      <w:r>
        <w:rPr/>
        <w:t>прирост валовой добавленной стоимости в году t;</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rb </w:t>
      </w:r>
      <w:r>
        <w:rPr>
          <w:rStyle w:val="CharStyle3"/>
          <w:sz w:val="28"/>
          <w:szCs w:val="28"/>
          <w:lang w:eastAsia="en-US"/>
        </w:rPr>
        <w:t xml:space="preserve">– </w:t>
      </w:r>
      <w:r>
        <w:rPr/>
        <w:t>ставка дисконтирования;</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n </w:t>
      </w:r>
      <w:r>
        <w:rPr>
          <w:rStyle w:val="CharStyle3"/>
          <w:sz w:val="28"/>
          <w:szCs w:val="28"/>
          <w:lang w:eastAsia="en-US"/>
        </w:rPr>
        <w:t>–</w:t>
      </w:r>
      <w:r>
        <w:rPr/>
        <w:t xml:space="preserve"> базовый год;</w:t>
      </w:r>
    </w:p>
    <w:p>
      <w:pPr>
        <w:pStyle w:val="Normal"/>
        <w:tabs>
          <w:tab w:val="clear" w:pos="708"/>
          <w:tab w:val="center" w:pos="941" w:leader="none"/>
          <w:tab w:val="center" w:pos="2945" w:leader="none"/>
          <w:tab w:val="center" w:pos="4799" w:leader="none"/>
        </w:tabs>
        <w:spacing w:lineRule="auto" w:line="276" w:before="0" w:after="120"/>
        <w:ind w:right="0" w:firstLine="709"/>
        <w:rPr/>
      </w:pPr>
      <w:r>
        <w:rPr/>
        <w:t xml:space="preserve">0,5 </w:t>
      </w:r>
      <w:r>
        <w:rPr>
          <w:rStyle w:val="CharStyle3"/>
          <w:sz w:val="28"/>
          <w:szCs w:val="28"/>
          <w:lang w:eastAsia="en-US"/>
        </w:rPr>
        <w:t>–</w:t>
      </w:r>
      <w:r>
        <w:rPr/>
        <w:t xml:space="preserve"> корректирующая величина, обеспечивающая распределение дисконтируемых денежных потоков в течение года.</w:t>
      </w:r>
    </w:p>
    <w:p>
      <w:pPr>
        <w:pStyle w:val="Normal"/>
        <w:spacing w:lineRule="auto" w:line="276" w:before="0" w:after="62"/>
        <w:ind w:right="90" w:firstLine="709"/>
        <w:rPr/>
      </w:pPr>
      <w:r>
        <w:rPr/>
        <w:t>Ставка дисконтирования (rb) принимается равной величине средней доходности долгосрочных облигаций федерального займа со сроком погашения 10 лет и определяется по формуле:</w:t>
      </w:r>
    </w:p>
    <w:p>
      <w:pPr>
        <w:pStyle w:val="Normal"/>
        <w:spacing w:lineRule="auto" w:line="240" w:before="0" w:after="62"/>
        <w:ind w:right="90" w:firstLine="709"/>
        <w:rPr/>
      </w:pPr>
      <w:r>
        <w:rPr/>
      </w:r>
    </w:p>
    <w:p>
      <w:pPr>
        <w:pStyle w:val="Normal"/>
        <w:spacing w:lineRule="auto" w:line="240" w:before="0" w:after="120"/>
        <w:ind w:right="0" w:hanging="0"/>
        <w:jc w:val="center"/>
        <w:rPr/>
      </w:pPr>
      <w:r>
        <w:rPr/>
      </w:r>
      <m:oMathPara xmlns:m="http://schemas.openxmlformats.org/officeDocument/2006/math">
        <m:oMathParaPr>
          <m:jc m:val="center"/>
        </m:oMathParaPr>
        <m:oMath>
          <m:r>
            <w:rPr>
              <w:rFonts w:ascii="Cambria Math" w:hAnsi="Cambria Math"/>
            </w:rPr>
            <m:t xml:space="preserve">rb</m:t>
          </m:r>
          <m:r>
            <w:rPr>
              <w:rFonts w:ascii="Cambria Math" w:hAnsi="Cambria Math"/>
            </w:rPr>
            <m:t xml:space="preserve">=</m:t>
          </m:r>
          <m:f>
            <m:num>
              <m:nary>
                <m:naryPr>
                  <m:chr m:val="∑"/>
                </m:naryPr>
                <m:sub>
                  <m:r>
                    <w:rPr>
                      <w:rFonts w:ascii="Cambria Math" w:hAnsi="Cambria Math"/>
                    </w:rPr>
                    <m:t xml:space="preserve">j</m:t>
                  </m:r>
                  <m:r>
                    <w:rPr>
                      <w:rFonts w:ascii="Cambria Math" w:hAnsi="Cambria Math"/>
                    </w:rPr>
                    <m:t xml:space="preserve">=</m:t>
                  </m:r>
                  <m:r>
                    <w:rPr>
                      <w:rFonts w:ascii="Cambria Math" w:hAnsi="Cambria Math"/>
                    </w:rPr>
                    <m:t xml:space="preserve">1</m:t>
                  </m:r>
                </m:sub>
                <m:sup>
                  <m:sSub>
                    <m:e>
                      <m:r>
                        <w:rPr>
                          <w:rFonts w:ascii="Cambria Math" w:hAnsi="Cambria Math"/>
                        </w:rPr>
                        <m:t xml:space="preserve">g</m:t>
                      </m:r>
                    </m:e>
                    <m:sub>
                      <m:r>
                        <w:rPr>
                          <w:rFonts w:ascii="Cambria Math" w:hAnsi="Cambria Math"/>
                        </w:rPr>
                        <m:t xml:space="preserve">k</m:t>
                      </m:r>
                    </m:sub>
                  </m:sSub>
                </m:sup>
                <m:e>
                  <m:sSub>
                    <m:e>
                      <m:r>
                        <w:rPr>
                          <w:rFonts w:ascii="Cambria Math" w:hAnsi="Cambria Math"/>
                        </w:rPr>
                        <m:t xml:space="preserve">Y</m:t>
                      </m:r>
                    </m:e>
                    <m:sub>
                      <m:r>
                        <w:rPr>
                          <w:rFonts w:ascii="Cambria Math" w:hAnsi="Cambria Math"/>
                        </w:rPr>
                        <m:t xml:space="preserve">k</m:t>
                      </m:r>
                      <m:r>
                        <w:rPr>
                          <w:rFonts w:ascii="Cambria Math" w:hAnsi="Cambria Math"/>
                        </w:rPr>
                        <m:t xml:space="preserve">,</m:t>
                      </m:r>
                      <m:r>
                        <w:rPr>
                          <w:rFonts w:ascii="Cambria Math" w:hAnsi="Cambria Math"/>
                        </w:rPr>
                        <m:t xml:space="preserve">j</m:t>
                      </m:r>
                    </m:sub>
                  </m:sSub>
                  <m:d>
                    <m:dPr>
                      <m:begChr m:val="("/>
                      <m:endChr m:val=")"/>
                    </m:dPr>
                    <m:e>
                      <m:r>
                        <w:rPr>
                          <w:rFonts w:ascii="Cambria Math" w:hAnsi="Cambria Math"/>
                        </w:rPr>
                        <m:t xml:space="preserve">10</m:t>
                      </m:r>
                    </m:e>
                  </m:d>
                </m:e>
              </m:nary>
            </m:num>
            <m:den>
              <m:sSub>
                <m:e>
                  <m:r>
                    <w:rPr>
                      <w:rFonts w:ascii="Cambria Math" w:hAnsi="Cambria Math"/>
                    </w:rPr>
                    <m:t xml:space="preserve">g</m:t>
                  </m:r>
                </m:e>
                <m:sub>
                  <m:r>
                    <w:rPr>
                      <w:rFonts w:ascii="Cambria Math" w:hAnsi="Cambria Math"/>
                    </w:rPr>
                    <m:t xml:space="preserve">k</m:t>
                  </m:r>
                </m:sub>
              </m:sSub>
            </m:den>
          </m:f>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где:</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g</m:t>
            </m:r>
          </m:e>
          <m:sub>
            <m:r>
              <w:rPr>
                <w:rFonts w:ascii="Cambria Math" w:hAnsi="Cambria Math"/>
              </w:rPr>
              <m:t xml:space="preserve">k</m:t>
            </m:r>
          </m:sub>
        </m:sSub>
      </m:oMath>
      <w:r>
        <w:rPr/>
        <w:t xml:space="preserve"> – </w:t>
      </w:r>
      <w:r>
        <w:rPr/>
        <w:t xml:space="preserve">количество торговых дней в квартале, предшествующем кварталу проведения оценки, в течение которых осуществлялись торги </w:t>
        <w:br/>
        <w:t xml:space="preserve">с использованием системы электронных торгов публичного акционерного общества «Московская биржа ММВБ-РТС» (далее соответственно – торговый день, Московская биржа) и за которые на официальном сайте Московской биржи в информационно-телекоммуникационной сети «Интернет» было опубликовано значение </w:t>
      </w:r>
      <w:r>
        <w:rPr/>
      </w:r>
      <m:oMath xmlns:m="http://schemas.openxmlformats.org/officeDocument/2006/math">
        <m:sSub>
          <m:e>
            <m:r>
              <w:rPr>
                <w:rFonts w:ascii="Cambria Math" w:hAnsi="Cambria Math"/>
              </w:rPr>
              <m:t xml:space="preserve">Y</m:t>
            </m:r>
          </m:e>
          <m:sub>
            <m:r>
              <w:rPr>
                <w:rFonts w:ascii="Cambria Math" w:hAnsi="Cambria Math"/>
              </w:rPr>
              <m:t xml:space="preserve">k</m:t>
            </m:r>
            <m:r>
              <w:rPr>
                <w:rFonts w:ascii="Cambria Math" w:hAnsi="Cambria Math"/>
              </w:rPr>
              <m:t xml:space="preserve">,</m:t>
            </m:r>
            <m:r>
              <w:rPr>
                <w:rFonts w:ascii="Cambria Math" w:hAnsi="Cambria Math"/>
              </w:rPr>
              <m:t xml:space="preserve">j</m:t>
            </m:r>
          </m:sub>
        </m:sSub>
        <m:d>
          <m:dPr>
            <m:begChr m:val="("/>
            <m:endChr m:val=")"/>
          </m:dPr>
          <m:e>
            <m:r>
              <w:rPr>
                <w:rFonts w:ascii="Cambria Math" w:hAnsi="Cambria Math"/>
              </w:rPr>
              <m:t xml:space="preserve">10</m:t>
            </m:r>
          </m:e>
        </m:d>
      </m:oMath>
      <w:r>
        <w:rPr/>
        <w:t>;</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j – индекс дня, принимающий значения от 1 до </w:t>
      </w:r>
      <w:r>
        <w:rPr/>
      </w:r>
      <m:oMath xmlns:m="http://schemas.openxmlformats.org/officeDocument/2006/math">
        <m:sSub>
          <m:e>
            <m:r>
              <w:rPr>
                <w:rFonts w:ascii="Cambria Math" w:hAnsi="Cambria Math"/>
              </w:rPr>
              <m:t xml:space="preserve">g</m:t>
            </m:r>
          </m:e>
          <m:sub>
            <m:r>
              <w:rPr>
                <w:rFonts w:ascii="Cambria Math" w:hAnsi="Cambria Math"/>
              </w:rPr>
              <m:t xml:space="preserve">k</m:t>
            </m:r>
          </m:sub>
        </m:sSub>
      </m:oMath>
      <w:r>
        <w:rPr/>
        <w:t>;</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Y</m:t>
            </m:r>
          </m:e>
          <m:sub>
            <m:r>
              <w:rPr>
                <w:rFonts w:ascii="Cambria Math" w:hAnsi="Cambria Math"/>
              </w:rPr>
              <m:t xml:space="preserve">k</m:t>
            </m:r>
            <m:r>
              <w:rPr>
                <w:rFonts w:ascii="Cambria Math" w:hAnsi="Cambria Math"/>
              </w:rPr>
              <m:t xml:space="preserve">,</m:t>
            </m:r>
            <m:r>
              <w:rPr>
                <w:rFonts w:ascii="Cambria Math" w:hAnsi="Cambria Math"/>
              </w:rPr>
              <m:t xml:space="preserve">j</m:t>
            </m:r>
          </m:sub>
        </m:sSub>
        <m:d>
          <m:dPr>
            <m:begChr m:val="("/>
            <m:endChr m:val=")"/>
          </m:dPr>
          <m:e>
            <m:r>
              <w:rPr>
                <w:rFonts w:ascii="Cambria Math" w:hAnsi="Cambria Math"/>
              </w:rPr>
              <m:t xml:space="preserve">10</m:t>
            </m:r>
          </m:e>
        </m:d>
      </m:oMath>
      <w:r>
        <w:rPr/>
        <w:t xml:space="preserve"> – </w:t>
      </w:r>
      <w:r>
        <w:rPr/>
        <w:t xml:space="preserve">опубликованное на официальном сайте Московской биржи </w:t>
        <w:br/>
        <w:t>в информационно-телекоммуникационной сети «Интернет» соответствующее сроку погашения 10 лет значение G-кривой (зависимости бескупонной доходности государственных обязательств от их дюрации), рассчитанное Московской биржей по результатам торгов на Московской бирже за торговый день с индексом j в квартале, предшествующем кварталу проведения оценки.</w:t>
      </w:r>
    </w:p>
    <w:p>
      <w:pPr>
        <w:pStyle w:val="Normal"/>
        <w:spacing w:lineRule="auto" w:line="276" w:before="0" w:after="0"/>
        <w:ind w:left="709" w:right="0" w:hanging="0"/>
        <w:jc w:val="left"/>
        <w:rPr>
          <w:rFonts w:eastAsia="等线" w:eastAsiaTheme="minorEastAsia"/>
          <w:color w:val="auto"/>
          <w:szCs w:val="28"/>
        </w:rPr>
      </w:pPr>
      <w:r>
        <w:rPr>
          <w:rFonts w:eastAsia="等线" w:eastAsiaTheme="minorEastAsia"/>
          <w:color w:val="auto"/>
          <w:szCs w:val="28"/>
        </w:rPr>
        <w:t xml:space="preserve">Прирост валовой добавленной стоимости в году </w:t>
      </w:r>
      <w:r>
        <w:rPr>
          <w:rFonts w:eastAsia="等线" w:eastAsiaTheme="minorEastAsia"/>
          <w:color w:val="auto"/>
          <w:szCs w:val="28"/>
          <w:lang w:val="en-US"/>
        </w:rPr>
        <w:t>t</w:t>
      </w:r>
      <w:r>
        <w:rPr>
          <w:rFonts w:eastAsia="等线" w:eastAsiaTheme="minorEastAsia"/>
          <w:color w:val="auto"/>
          <w:szCs w:val="28"/>
        </w:rPr>
        <w:t xml:space="preserve"> определяется по формуле:</w:t>
      </w:r>
    </w:p>
    <w:p>
      <w:pPr>
        <w:pStyle w:val="Normal"/>
        <w:spacing w:lineRule="auto" w:line="240" w:before="0" w:after="0"/>
        <w:ind w:right="0" w:hanging="0"/>
        <w:jc w:val="left"/>
        <w:rPr>
          <w:rFonts w:eastAsia="等线" w:eastAsiaTheme="minorEastAsia"/>
          <w:color w:val="auto"/>
          <w:szCs w:val="28"/>
        </w:rPr>
      </w:pPr>
      <w:r>
        <w:rPr>
          <w:rFonts w:eastAsia="等线" w:eastAsiaTheme="minorEastAsia"/>
          <w:color w:val="auto"/>
          <w:szCs w:val="28"/>
        </w:rPr>
      </w:r>
    </w:p>
    <w:p>
      <w:pPr>
        <w:pStyle w:val="Normal"/>
        <w:spacing w:lineRule="auto" w:line="276" w:before="0" w:after="0"/>
        <w:ind w:right="0" w:hanging="0"/>
        <w:jc w:val="center"/>
        <w:rPr>
          <w:rFonts w:eastAsia="等线" w:eastAsiaTheme="minorEastAsia"/>
          <w:color w:val="auto"/>
          <w:szCs w:val="28"/>
        </w:rPr>
      </w:pPr>
      <w:r>
        <w:rPr/>
      </w:r>
      <m:oMathPara xmlns:m="http://schemas.openxmlformats.org/officeDocument/2006/math">
        <m:oMathParaPr>
          <m:jc m:val="center"/>
        </m:oMathParaPr>
        <m:oMath>
          <m:sSubSup>
            <m:e>
              <m:r>
                <w:rPr>
                  <w:rFonts w:ascii="Cambria Math" w:hAnsi="Cambria Math"/>
                </w:rPr>
                <m:t xml:space="preserve">ВДС</m:t>
              </m:r>
            </m:e>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ВДС</m:t>
              </m:r>
            </m:e>
            <m:sub>
              <m:r>
                <w:rPr>
                  <w:rFonts w:ascii="Cambria Math" w:hAnsi="Cambria Math"/>
                </w:rPr>
                <m:t xml:space="preserve">1</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ВДС</m:t>
              </m:r>
            </m:e>
            <m:sub>
              <m:r>
                <w:rPr>
                  <w:rFonts w:ascii="Cambria Math" w:hAnsi="Cambria Math"/>
                </w:rPr>
                <m:t xml:space="preserve">2</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ВДС</m:t>
              </m:r>
            </m:e>
            <m:sub>
              <m:r>
                <w:rPr>
                  <w:rFonts w:ascii="Cambria Math" w:hAnsi="Cambria Math"/>
                </w:rPr>
                <m:t xml:space="preserve">3</m:t>
              </m:r>
            </m:sub>
            <m:sup>
              <m:r>
                <w:rPr>
                  <w:rFonts w:ascii="Cambria Math" w:hAnsi="Cambria Math"/>
                </w:rPr>
                <m:t xml:space="preserve">t</m:t>
              </m:r>
            </m:sup>
          </m:sSubSup>
        </m:oMath>
      </m:oMathPara>
    </w:p>
    <w:p>
      <w:pPr>
        <w:pStyle w:val="Normal"/>
        <w:spacing w:lineRule="auto" w:line="240" w:before="0" w:after="0"/>
        <w:ind w:right="0" w:hanging="0"/>
        <w:jc w:val="left"/>
        <w:rPr>
          <w:rFonts w:eastAsia="等线" w:eastAsiaTheme="minorEastAsia"/>
          <w:color w:val="auto"/>
          <w:szCs w:val="28"/>
        </w:rPr>
      </w:pPr>
      <w:r>
        <w:rPr>
          <w:rFonts w:eastAsia="等线" w:eastAsiaTheme="minorEastAsia"/>
          <w:color w:val="auto"/>
          <w:szCs w:val="28"/>
        </w:rPr>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ВДС</m:t>
            </m:r>
          </m:e>
          <m:sub>
            <m:r>
              <w:rPr>
                <w:rFonts w:ascii="Cambria Math" w:hAnsi="Cambria Math"/>
              </w:rPr>
              <m:t xml:space="preserve">1</m:t>
            </m:r>
          </m:sub>
          <m:sup>
            <m:r>
              <w:rPr>
                <w:rFonts w:ascii="Cambria Math" w:hAnsi="Cambria Math"/>
              </w:rPr>
              <m:t xml:space="preserve">t</m:t>
            </m:r>
          </m:sup>
        </m:sSubSup>
      </m:oMath>
      <w:r>
        <w:rPr/>
        <w:t xml:space="preserve"> – </w:t>
      </w:r>
      <w:r>
        <w:rPr/>
        <w:t>прирост валовой добавленной стоимости от удорожания недвижимости благодаря реализации инфраструктурного проекта;</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ВДС</m:t>
            </m:r>
          </m:e>
          <m:sub>
            <m:r>
              <w:rPr>
                <w:rFonts w:ascii="Cambria Math" w:hAnsi="Cambria Math"/>
              </w:rPr>
              <m:t xml:space="preserve">2</m:t>
            </m:r>
          </m:sub>
          <m:sup>
            <m:r>
              <w:rPr>
                <w:rFonts w:ascii="Cambria Math" w:hAnsi="Cambria Math"/>
              </w:rPr>
              <m:t xml:space="preserve">t</m:t>
            </m:r>
          </m:sup>
        </m:sSubSup>
      </m:oMath>
      <w:r>
        <w:rPr/>
        <w:t xml:space="preserve"> – </w:t>
      </w:r>
      <w:r>
        <w:rPr/>
        <w:t>прирост валовой добавленной стоимости в рамках косвенного эффекта от строительства объектов недвижимости;</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ВДС</m:t>
            </m:r>
          </m:e>
          <m:sub>
            <m:r>
              <w:rPr>
                <w:rFonts w:ascii="Cambria Math" w:hAnsi="Cambria Math"/>
              </w:rPr>
              <m:t xml:space="preserve">3</m:t>
            </m:r>
          </m:sub>
          <m:sup>
            <m:r>
              <w:rPr>
                <w:rFonts w:ascii="Cambria Math" w:hAnsi="Cambria Math"/>
              </w:rPr>
              <m:t xml:space="preserve">t</m:t>
            </m:r>
          </m:sup>
        </m:sSubSup>
      </m:oMath>
      <w:r>
        <w:rPr/>
        <w:t xml:space="preserve"> – </w:t>
      </w:r>
      <w:r>
        <w:rPr/>
        <w:t>прирост валовой добавленной стоимости в рамках косвенного эффекта от эксплуатации объектов недвижимости;</w:t>
      </w:r>
    </w:p>
    <w:p>
      <w:pPr>
        <w:pStyle w:val="Normal"/>
        <w:spacing w:lineRule="auto" w:line="276" w:before="0" w:after="120"/>
        <w:ind w:right="0" w:firstLine="709"/>
        <w:rPr/>
      </w:pPr>
      <w:r>
        <w:rPr/>
      </w:r>
      <m:oMath xmlns:m="http://schemas.openxmlformats.org/officeDocument/2006/math">
        <m:sSubSup>
          <m:e>
            <m:r>
              <w:rPr>
                <w:rFonts w:ascii="Cambria Math" w:hAnsi="Cambria Math"/>
              </w:rPr>
              <m:t xml:space="preserve">ВДС</m:t>
            </m:r>
          </m:e>
          <m:sub>
            <m:r>
              <w:rPr>
                <w:rFonts w:ascii="Cambria Math" w:hAnsi="Cambria Math"/>
              </w:rPr>
              <m:t xml:space="preserve">2</m:t>
            </m:r>
          </m:sub>
          <m:sup>
            <m:r>
              <w:rPr>
                <w:rFonts w:ascii="Cambria Math" w:hAnsi="Cambria Math"/>
              </w:rPr>
              <m:t xml:space="preserve">t</m:t>
            </m:r>
          </m:sup>
        </m:sSubSup>
      </m:oMath>
      <w:r>
        <w:rPr/>
        <w:t xml:space="preserve"> </w:t>
      </w:r>
      <w:r>
        <w:rPr/>
        <w:t xml:space="preserve">и </w:t>
      </w:r>
      <w:r>
        <w:rPr/>
      </w:r>
      <m:oMath xmlns:m="http://schemas.openxmlformats.org/officeDocument/2006/math">
        <m:sSubSup>
          <m:e>
            <m:r>
              <w:rPr>
                <w:rFonts w:ascii="Cambria Math" w:hAnsi="Cambria Math"/>
              </w:rPr>
              <m:t xml:space="preserve">ВДС</m:t>
            </m:r>
          </m:e>
          <m:sub>
            <m:r>
              <w:rPr>
                <w:rFonts w:ascii="Cambria Math" w:hAnsi="Cambria Math"/>
              </w:rPr>
              <m:t xml:space="preserve">3</m:t>
            </m:r>
          </m:sub>
          <m:sup>
            <m:r>
              <w:rPr>
                <w:rFonts w:ascii="Cambria Math" w:hAnsi="Cambria Math"/>
              </w:rPr>
              <m:t xml:space="preserve">t</m:t>
            </m:r>
          </m:sup>
        </m:sSubSup>
      </m:oMath>
      <w:r>
        <w:rPr/>
        <w:t xml:space="preserve"> рассчитываются только в отношении тех объектов недвижимости, строительство которых станет невозможным в случае отказа от реализации инфраструктурного проекта. При этом необходимость реализации инфраструктурного проекта для строительства таких объектов недвижимости должна быть подтверждена письмом застройщика.</w:t>
      </w:r>
    </w:p>
    <w:p>
      <w:pPr>
        <w:pStyle w:val="Normal"/>
        <w:spacing w:lineRule="auto" w:line="276" w:before="0" w:after="0"/>
        <w:ind w:right="0" w:firstLine="709"/>
        <w:rPr>
          <w:rFonts w:eastAsia="等线" w:eastAsiaTheme="minorEastAsia"/>
          <w:color w:val="auto"/>
          <w:szCs w:val="28"/>
        </w:rPr>
      </w:pPr>
      <w:r>
        <w:rPr>
          <w:rFonts w:eastAsia="等线" w:eastAsiaTheme="minorEastAsia"/>
          <w:color w:val="auto"/>
          <w:szCs w:val="28"/>
        </w:rPr>
        <w:t xml:space="preserve">Прирост валовой добавленной стоимости </w:t>
      </w:r>
      <w:r>
        <w:rPr/>
        <w:t>от удорожания недвижимости благодаря реализации инфраструктурного проекта</w:t>
      </w:r>
      <w:r>
        <w:rPr>
          <w:rFonts w:eastAsia="等线" w:eastAsiaTheme="minorEastAsia"/>
          <w:color w:val="auto"/>
          <w:szCs w:val="28"/>
        </w:rPr>
        <w:t xml:space="preserve"> в году t определяется</w:t>
        <w:br/>
        <w:t>по формуле:</w:t>
      </w:r>
    </w:p>
    <w:p>
      <w:pPr>
        <w:pStyle w:val="Normal"/>
        <w:spacing w:lineRule="auto" w:line="276" w:before="0" w:after="0"/>
        <w:ind w:right="0" w:hanging="0"/>
        <w:jc w:val="left"/>
        <w:rPr>
          <w:rFonts w:eastAsia="等线" w:eastAsiaTheme="minorEastAsia"/>
          <w:color w:val="auto"/>
          <w:szCs w:val="28"/>
        </w:rPr>
      </w:pPr>
      <w:r>
        <w:rPr>
          <w:rFonts w:eastAsia="等线" w:eastAsiaTheme="minorEastAsia"/>
          <w:color w:val="auto"/>
          <w:szCs w:val="28"/>
        </w:rPr>
      </w:r>
    </w:p>
    <w:p>
      <w:pPr>
        <w:pStyle w:val="Normal"/>
        <w:spacing w:lineRule="auto" w:line="276" w:before="0" w:after="0"/>
        <w:ind w:right="0" w:hanging="0"/>
        <w:jc w:val="center"/>
        <w:rPr>
          <w:rFonts w:ascii="Calibri" w:hAnsi="Calibri" w:eastAsia="Calibri" w:cs="Calibri"/>
          <w:sz w:val="22"/>
        </w:rPr>
      </w:pPr>
      <w:r>
        <w:rPr/>
      </w:r>
      <m:oMathPara xmlns:m="http://schemas.openxmlformats.org/officeDocument/2006/math">
        <m:oMathParaPr>
          <m:jc m:val="center"/>
        </m:oMathParaPr>
        <m:oMath>
          <m:sSubSup>
            <m:e>
              <m:r>
                <w:rPr>
                  <w:rFonts w:ascii="Cambria Math" w:hAnsi="Cambria Math"/>
                </w:rPr>
                <m:t xml:space="preserve">ВДС</m:t>
              </m:r>
            </m:e>
            <m:sub>
              <m:r>
                <w:rPr>
                  <w:rFonts w:ascii="Cambria Math" w:hAnsi="Cambria Math"/>
                </w:rPr>
                <m:t xml:space="preserve">1</m:t>
              </m:r>
            </m:sub>
            <m:sup>
              <m:r>
                <w:rPr>
                  <w:rFonts w:ascii="Cambria Math" w:hAnsi="Cambria Math"/>
                </w:rPr>
                <m:t xml:space="preserve">t</m:t>
              </m:r>
            </m:sup>
          </m:sSubSup>
          <m:r>
            <w:rPr>
              <w:rFonts w:ascii="Cambria Math" w:hAnsi="Cambria Math"/>
            </w:rPr>
            <m:t xml:space="preserve">=</m:t>
          </m:r>
          <m:d>
            <m:dPr>
              <m:begChr m:val="("/>
              <m:endChr m:val=")"/>
            </m:dPr>
            <m:e>
              <m:sSubSup>
                <m:e>
                  <m:r>
                    <w:rPr>
                      <w:rFonts w:ascii="Cambria Math" w:hAnsi="Cambria Math"/>
                    </w:rPr>
                    <m:t xml:space="preserve">РС</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РС</m:t>
                  </m:r>
                </m:e>
                <m:sub>
                  <m:r>
                    <w:rPr>
                      <w:rFonts w:ascii="Cambria Math" w:hAnsi="Cambria Math"/>
                    </w:rPr>
                    <m:t xml:space="preserve">0</m:t>
                  </m:r>
                </m:sub>
                <m:sup>
                  <m:r>
                    <w:rPr>
                      <w:rFonts w:ascii="Cambria Math" w:hAnsi="Cambria Math"/>
                    </w:rPr>
                    <m:t xml:space="preserve">t</m:t>
                  </m:r>
                </m:sup>
              </m:sSubSup>
            </m:e>
          </m:d>
          <m:r>
            <w:rPr>
              <w:rFonts w:ascii="Cambria Math" w:hAnsi="Cambria Math"/>
            </w:rPr>
            <m:t xml:space="preserve">∗</m:t>
          </m:r>
          <m:sSub>
            <m:e>
              <m:r>
                <w:rPr>
                  <w:rFonts w:ascii="Cambria Math" w:hAnsi="Cambria Math"/>
                </w:rPr>
                <m:t xml:space="preserve">Д</m:t>
              </m:r>
            </m:e>
            <m:sub>
              <m:r>
                <w:rPr>
                  <w:rFonts w:ascii="Cambria Math" w:hAnsi="Cambria Math"/>
                </w:rPr>
                <m:t xml:space="preserve">пi</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РС</m:t>
            </m:r>
          </m:e>
          <m:sub>
            <m:r>
              <w:rPr>
                <w:rFonts w:ascii="Cambria Math" w:hAnsi="Cambria Math"/>
              </w:rPr>
              <m:t xml:space="preserve">i</m:t>
            </m:r>
          </m:sub>
          <m:sup>
            <m:r>
              <w:rPr>
                <w:rFonts w:ascii="Cambria Math" w:hAnsi="Cambria Math"/>
              </w:rPr>
              <m:t xml:space="preserve">t</m:t>
            </m:r>
          </m:sup>
        </m:sSubSup>
      </m:oMath>
      <w:r>
        <w:rPr/>
        <w:t xml:space="preserve"> – </w:t>
      </w:r>
      <w:r>
        <w:rPr/>
        <w:t>рыночная стоимость вводимой в году t недвижимости в районе реализации i-го инфраструктурного проекта, направленного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w:t>
        <w:br/>
        <w:t xml:space="preserve">и благоустройству территорий, согласно заявке и представленным обосновывающим документам;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РС</m:t>
            </m:r>
          </m:e>
          <m:sub>
            <m:r>
              <w:rPr>
                <w:rFonts w:ascii="Cambria Math" w:hAnsi="Cambria Math"/>
              </w:rPr>
              <m:t xml:space="preserve">0</m:t>
            </m:r>
          </m:sub>
          <m:sup>
            <m:r>
              <w:rPr>
                <w:rFonts w:ascii="Cambria Math" w:hAnsi="Cambria Math"/>
              </w:rPr>
              <m:t xml:space="preserve">t</m:t>
            </m:r>
          </m:sup>
        </m:sSubSup>
      </m:oMath>
      <w:r>
        <w:rPr/>
        <w:t xml:space="preserve"> – </w:t>
      </w:r>
      <w:r>
        <w:rPr/>
        <w:t>рыночная стоимость вводимой в году t недвижимости в том же районе при отказе от реализации i-го инфраструктурного проекта;</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Д</m:t>
            </m:r>
          </m:e>
          <m:sub>
            <m:r>
              <w:rPr>
                <w:rFonts w:ascii="Cambria Math" w:hAnsi="Cambria Math"/>
              </w:rPr>
              <m:t xml:space="preserve">пi</m:t>
            </m:r>
          </m:sub>
        </m:sSub>
      </m:oMath>
      <w:r>
        <w:rPr/>
        <w:t xml:space="preserve"> – </w:t>
      </w:r>
      <w:r>
        <w:rPr/>
        <w:t>доля валовой добавленной стоимости в продукции отрасли жилищного строительства, определяемая по данным наиболее свежих опубликованных таблиц «затраты-выпуск».</w:t>
      </w:r>
    </w:p>
    <w:p>
      <w:pPr>
        <w:pStyle w:val="Normal"/>
        <w:tabs>
          <w:tab w:val="clear" w:pos="708"/>
          <w:tab w:val="center" w:pos="941" w:leader="none"/>
          <w:tab w:val="center" w:pos="2945" w:leader="none"/>
          <w:tab w:val="center" w:pos="4799" w:leader="none"/>
        </w:tabs>
        <w:spacing w:lineRule="auto" w:line="276" w:before="0" w:after="120"/>
        <w:ind w:right="0" w:firstLine="709"/>
        <w:rPr/>
      </w:pPr>
      <w:r>
        <w:rPr/>
        <w:t>В случае, если в районе реализации i-го инфраструктурного проекта планируется строительство и жилой, и коммерческой недвижимости, расчет выполняется отдельно для жилой и для коммерческой недвижимости.</w:t>
      </w:r>
    </w:p>
    <w:p>
      <w:pPr>
        <w:pStyle w:val="Normal"/>
        <w:spacing w:lineRule="auto" w:line="276"/>
        <w:ind w:left="-15" w:right="-45" w:firstLine="724"/>
        <w:rPr/>
      </w:pPr>
      <w:r>
        <w:rPr/>
        <w:t xml:space="preserve">В случае существенного отклонения (более 30 %) показателей средней цены квадратного метра жилья, представленных в заявке, от соответствующих данных Министерства строительства и жилищно-коммунального хозяйства Российской Федерации, субъектом Российской Федерации должны быть представлены дополнительные расчеты и обоснования, в том числе заключение независимой экспертной организации. </w:t>
      </w:r>
    </w:p>
    <w:p>
      <w:pPr>
        <w:pStyle w:val="Normal"/>
        <w:spacing w:lineRule="auto" w:line="276" w:before="0" w:after="58"/>
        <w:ind w:left="-15" w:right="-45" w:firstLine="724"/>
        <w:rPr/>
      </w:pPr>
      <w:r>
        <w:rPr/>
        <w:t>Прирост валовой добавленной стоимости в рамках косвенного эффекта</w:t>
        <w:br/>
        <w:t xml:space="preserve">от строительства объектов недвижимости определяется по формуле: </w:t>
      </w:r>
    </w:p>
    <w:p>
      <w:pPr>
        <w:pStyle w:val="Normal"/>
        <w:spacing w:lineRule="auto" w:line="240" w:before="0" w:after="58"/>
        <w:ind w:left="-15" w:right="90" w:firstLine="724"/>
        <w:rPr/>
      </w:pPr>
      <w:r>
        <w:rPr/>
      </w:r>
    </w:p>
    <w:p>
      <w:pPr>
        <w:pStyle w:val="Normal"/>
        <w:spacing w:lineRule="auto" w:line="276" w:before="0" w:after="58"/>
        <w:ind w:left="-15" w:right="90" w:firstLine="566"/>
        <w:jc w:val="center"/>
        <w:rPr/>
      </w:pPr>
      <w:r>
        <w:rPr/>
      </w:r>
      <m:oMathPara xmlns:m="http://schemas.openxmlformats.org/officeDocument/2006/math">
        <m:oMathParaPr>
          <m:jc m:val="center"/>
        </m:oMathParaPr>
        <m:oMath>
          <m:sSubSup>
            <m:e>
              <m:r>
                <w:rPr>
                  <w:rFonts w:ascii="Cambria Math" w:hAnsi="Cambria Math"/>
                </w:rPr>
                <m:t xml:space="preserve">ВДС</m:t>
              </m:r>
            </m:e>
            <m:sub>
              <m:r>
                <w:rPr>
                  <w:rFonts w:ascii="Cambria Math" w:hAnsi="Cambria Math"/>
                </w:rPr>
                <m:t xml:space="preserve">2</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СС</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
            <m:e>
              <m:r>
                <w:rPr>
                  <w:rFonts w:ascii="Cambria Math" w:hAnsi="Cambria Math"/>
                </w:rPr>
                <m:t xml:space="preserve">k</m:t>
              </m:r>
            </m:e>
            <m:sub>
              <m:r>
                <w:rPr>
                  <w:rFonts w:ascii="Cambria Math" w:hAnsi="Cambria Math"/>
                </w:rPr>
                <m:t xml:space="preserve">инв</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jc w:val="left"/>
        <w:rPr/>
      </w:pPr>
      <w:r>
        <w:rPr/>
        <w:t xml:space="preserve">где: </w:t>
      </w:r>
    </w:p>
    <w:p>
      <w:pPr>
        <w:pStyle w:val="Normal"/>
        <w:spacing w:lineRule="auto" w:line="276" w:before="0" w:after="120"/>
        <w:ind w:right="-45" w:firstLine="709"/>
        <w:rPr/>
      </w:pPr>
      <w:r>
        <w:rPr/>
      </w:r>
      <m:oMath xmlns:m="http://schemas.openxmlformats.org/officeDocument/2006/math">
        <m:sSubSup>
          <m:e>
            <m:r>
              <w:rPr>
                <w:rFonts w:ascii="Cambria Math" w:hAnsi="Cambria Math"/>
              </w:rPr>
              <m:t xml:space="preserve">СС</m:t>
            </m:r>
          </m:e>
          <m:sub>
            <m:r>
              <w:rPr>
                <w:rFonts w:ascii="Cambria Math" w:hAnsi="Cambria Math"/>
              </w:rPr>
              <m:t xml:space="preserve">i</m:t>
            </m:r>
          </m:sub>
          <m:sup>
            <m:r>
              <w:rPr>
                <w:rFonts w:ascii="Cambria Math" w:hAnsi="Cambria Math"/>
              </w:rPr>
              <m:t xml:space="preserve">t</m:t>
            </m:r>
          </m:sup>
        </m:sSubSup>
      </m:oMath>
      <w:r>
        <w:rPr/>
        <w:t xml:space="preserve"> – </w:t>
      </w:r>
      <w:r>
        <w:rPr/>
        <w:t xml:space="preserve">расчетная себестоимость вводимой в году </w:t>
      </w:r>
      <w:r>
        <w:rPr>
          <w:lang w:val="en-US"/>
        </w:rPr>
        <w:t>t</w:t>
      </w:r>
      <w:r>
        <w:rPr/>
        <w:t xml:space="preserve"> недвижимости, строительство которой стало возможным благодаря реализации i-го инфраструктурного проекта, направленного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 и благоустройству территорий. Определяется как произведение средней себестоимости квадратного метра жилья по данным Министерства строительства и жилищно-коммунального хозяйства Российской Федерации, скорректированной на индекс-дефлятор инвестиций в основной капитал, и площади вводимого жилья, согласно заявке и представленным обосновывающим документам;</w:t>
      </w:r>
    </w:p>
    <w:p>
      <w:pPr>
        <w:pStyle w:val="Normal"/>
        <w:spacing w:lineRule="auto" w:line="276" w:before="0" w:after="120"/>
        <w:ind w:right="-45" w:firstLine="709"/>
        <w:rPr/>
      </w:pPr>
      <w:r>
        <w:rPr/>
      </w:r>
      <m:oMath xmlns:m="http://schemas.openxmlformats.org/officeDocument/2006/math">
        <m:sSub>
          <m:e>
            <m:r>
              <w:rPr>
                <w:rFonts w:ascii="Cambria Math" w:hAnsi="Cambria Math"/>
              </w:rPr>
              <m:t xml:space="preserve">k</m:t>
            </m:r>
          </m:e>
          <m:sub>
            <m:r>
              <w:rPr>
                <w:rFonts w:ascii="Cambria Math" w:hAnsi="Cambria Math"/>
              </w:rPr>
              <m:t xml:space="preserve">инв</m:t>
            </m:r>
          </m:sub>
        </m:sSub>
      </m:oMath>
      <w:r>
        <w:rPr/>
        <w:t xml:space="preserve"> – </w:t>
      </w:r>
      <w:r>
        <w:rPr/>
        <w:t xml:space="preserve">коэффициент-мультипликатор, отражающий влияние строительства недвижимости на добавленную стоимость, создаваемую смежными отраслями экономики, обеспечивающими выпуск товаров, работ и услуг, необходимых для строительства. Рассчитывается на базе таблиц «затраты-выпуск» межотраслевого баланса. Ориентировочное </w:t>
        <w:tab/>
        <w:t>значение</w:t>
        <w:tab/>
      </w:r>
      <w:r>
        <w:rPr/>
      </w:r>
      <m:oMath xmlns:m="http://schemas.openxmlformats.org/officeDocument/2006/math">
        <m:sSub>
          <m:e>
            <m:r>
              <w:rPr>
                <w:rFonts w:ascii="Cambria Math" w:hAnsi="Cambria Math"/>
              </w:rPr>
              <m:t xml:space="preserve">k</m:t>
            </m:r>
          </m:e>
          <m:sub>
            <m:r>
              <w:rPr>
                <w:rFonts w:ascii="Cambria Math" w:hAnsi="Cambria Math"/>
              </w:rPr>
              <m:t xml:space="preserve">инв</m:t>
            </m:r>
          </m:sub>
        </m:sSub>
      </m:oMath>
      <w:r>
        <w:rPr/>
        <w:t xml:space="preserve"> составляет</w:t>
      </w:r>
      <w:r>
        <w:rPr>
          <w:sz w:val="36"/>
        </w:rPr>
        <w:t xml:space="preserve"> </w:t>
      </w:r>
      <w:r>
        <w:rPr/>
        <w:t xml:space="preserve">0,54, и может быть уточнено с учетом специфики межотраслевых связей в конкретном субъекте Российской Федерации. </w:t>
      </w:r>
    </w:p>
    <w:p>
      <w:pPr>
        <w:pStyle w:val="Normal"/>
        <w:spacing w:lineRule="auto" w:line="276" w:before="0" w:after="58"/>
        <w:ind w:right="-45" w:firstLine="709"/>
        <w:rPr/>
      </w:pPr>
      <w:r>
        <w:rPr/>
        <w:t>Прирост валовой добавленной стоимости в рамках косвенного эффекта</w:t>
        <w:br/>
        <w:t xml:space="preserve">от эксплуатации объектов недвижимости в году t определяется по формуле: </w:t>
      </w:r>
    </w:p>
    <w:p>
      <w:pPr>
        <w:pStyle w:val="Normal"/>
        <w:spacing w:lineRule="auto" w:line="240" w:before="0" w:after="58"/>
        <w:ind w:right="90" w:firstLine="709"/>
        <w:rPr/>
      </w:pPr>
      <w:r>
        <w:rPr/>
      </w:r>
    </w:p>
    <w:p>
      <w:pPr>
        <w:pStyle w:val="Normal"/>
        <w:spacing w:lineRule="auto" w:line="276" w:before="0" w:after="58"/>
        <w:ind w:left="-15" w:right="90" w:firstLine="566"/>
        <w:jc w:val="center"/>
        <w:rPr/>
      </w:pPr>
      <w:r>
        <w:rPr/>
      </w:r>
      <m:oMathPara xmlns:m="http://schemas.openxmlformats.org/officeDocument/2006/math">
        <m:oMathParaPr>
          <m:jc m:val="center"/>
        </m:oMathParaPr>
        <m:oMath>
          <m:sSubSup>
            <m:e>
              <m:r>
                <w:rPr>
                  <w:rFonts w:ascii="Cambria Math" w:hAnsi="Cambria Math"/>
                </w:rPr>
                <m:t xml:space="preserve">ВДС</m:t>
              </m:r>
            </m:e>
            <m:sub>
              <m:r>
                <w:rPr>
                  <w:rFonts w:ascii="Cambria Math" w:hAnsi="Cambria Math"/>
                </w:rPr>
                <m:t xml:space="preserve">3</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ЭР</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
            <m:e>
              <m:r>
                <w:rPr>
                  <w:rFonts w:ascii="Cambria Math" w:hAnsi="Cambria Math"/>
                </w:rPr>
                <m:t xml:space="preserve">k</m:t>
              </m:r>
            </m:e>
            <m:sub>
              <m:r>
                <w:rPr>
                  <w:rFonts w:ascii="Cambria Math" w:hAnsi="Cambria Math"/>
                </w:rPr>
                <m:t xml:space="preserve">экспл</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ЭР</m:t>
            </m:r>
          </m:e>
          <m:sub>
            <m:r>
              <w:rPr>
                <w:rFonts w:ascii="Cambria Math" w:hAnsi="Cambria Math"/>
              </w:rPr>
              <m:t xml:space="preserve">i</m:t>
            </m:r>
          </m:sub>
          <m:sup>
            <m:r>
              <w:rPr>
                <w:rFonts w:ascii="Cambria Math" w:hAnsi="Cambria Math"/>
              </w:rPr>
              <m:t xml:space="preserve">t</m:t>
            </m:r>
          </m:sup>
        </m:sSubSup>
      </m:oMath>
      <w:r>
        <w:rPr/>
        <w:t xml:space="preserve"> – </w:t>
      </w:r>
      <w:r>
        <w:rPr/>
        <w:t xml:space="preserve">расходы на эксплуатацию объектов недвижимости, строительство которых стало возможным благодаря реализации i-го инфраструктурного проекта, направленного на комплексное развитие городского наземного электрического транспорта и автомобильного транспорта общего пользования, выполнение работ по освещению и благоустройству территорий. Рассчитываются нормативным способом на базе заявки;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k</m:t>
            </m:r>
          </m:e>
          <m:sub>
            <m:r>
              <w:rPr>
                <w:rFonts w:ascii="Cambria Math" w:hAnsi="Cambria Math"/>
              </w:rPr>
              <m:t xml:space="preserve">экспл</m:t>
            </m:r>
          </m:sub>
        </m:sSub>
      </m:oMath>
      <w:r>
        <w:rPr/>
        <w:t xml:space="preserve"> – </w:t>
      </w:r>
      <w:r>
        <w:rPr/>
        <w:t>коэффициент-мультипликатор, отражающий влияние затрат</w:t>
        <w:br/>
        <w:t xml:space="preserve">на эксплуатацию недвижимости на добавленную стоимость, создаваемую смежными отраслями экономики, обеспечивающими выпуск товаров, работ и услуг, необходимых для строительства. Рассчитывается на базе таблиц «затраты-выпуск» межотраслевого баланса.    Ориентировочное   значение </w:t>
      </w:r>
      <w:r>
        <w:rPr/>
      </w:r>
      <m:oMath xmlns:m="http://schemas.openxmlformats.org/officeDocument/2006/math">
        <m:sSub>
          <m:e>
            <m:r>
              <w:rPr>
                <w:rFonts w:ascii="Cambria Math" w:hAnsi="Cambria Math"/>
              </w:rPr>
              <m:t xml:space="preserve">k</m:t>
            </m:r>
          </m:e>
          <m:sub>
            <m:r>
              <w:rPr>
                <w:rFonts w:ascii="Cambria Math" w:hAnsi="Cambria Math"/>
              </w:rPr>
              <m:t xml:space="preserve">экспл</m:t>
            </m:r>
          </m:sub>
        </m:sSub>
      </m:oMath>
      <w:r>
        <w:rPr/>
        <w:tab/>
        <w:t xml:space="preserve"> составляет 0,53, и может быть уточнено с учетом специфики межотраслевых связей</w:t>
        <w:br/>
        <w:t xml:space="preserve">в конкретном субъекте Российской Федерации. </w:t>
      </w:r>
    </w:p>
    <w:p>
      <w:pPr>
        <w:pStyle w:val="Normal"/>
        <w:spacing w:lineRule="auto" w:line="276" w:before="0" w:after="75"/>
        <w:ind w:left="-15" w:right="-45" w:firstLine="724"/>
        <w:rPr/>
      </w:pPr>
      <w:r>
        <w:rPr/>
        <w:t xml:space="preserve">3. Дополнительные налоговые поступления в консолидированный бюджет субъекта Российской Федерации от строительства жилой и коммерческой недвижимости в результате реализации i-го инфраструктурного проекта в ценах базового года рассчитываются по формуле: </w:t>
      </w:r>
    </w:p>
    <w:p>
      <w:pPr>
        <w:pStyle w:val="Normal"/>
        <w:spacing w:lineRule="auto" w:line="276" w:before="0" w:after="106"/>
        <w:ind w:left="-15" w:right="90" w:firstLine="698"/>
        <w:jc w:val="center"/>
        <w:rPr/>
      </w:pPr>
      <w:r>
        <w:rPr/>
      </w:r>
      <m:oMathPara xmlns:m="http://schemas.openxmlformats.org/officeDocument/2006/math">
        <m:oMathParaPr>
          <m:jc m:val="center"/>
        </m:oMathParaPr>
        <m:oMath>
          <m:sSubSup>
            <m:e>
              <m:r>
                <w:rPr>
                  <w:rFonts w:ascii="Cambria Math" w:hAnsi="Cambria Math"/>
                </w:rPr>
                <m:t xml:space="preserve">ДН</m:t>
              </m:r>
            </m:e>
            <m:sub/>
            <m:sup>
              <m:r>
                <w:rPr>
                  <w:rFonts w:ascii="Cambria Math" w:hAnsi="Cambria Math"/>
                </w:rPr>
                <m:t xml:space="preserve">б</m:t>
              </m:r>
            </m:sup>
          </m:sSubSup>
          <m:r>
            <w:rPr>
              <w:rFonts w:ascii="Cambria Math" w:hAnsi="Cambria Math"/>
            </w:rPr>
            <m:t xml:space="preserve">=</m:t>
          </m:r>
          <m:nary>
            <m:naryPr>
              <m:chr m:val="∑"/>
            </m:naryPr>
            <m:sub>
              <m:r>
                <w:rPr>
                  <w:rFonts w:ascii="Cambria Math" w:hAnsi="Cambria Math"/>
                </w:rPr>
                <m:t xml:space="preserve">t</m:t>
              </m:r>
              <m:r>
                <w:rPr>
                  <w:rFonts w:ascii="Cambria Math" w:hAnsi="Cambria Math"/>
                </w:rPr>
                <m:t xml:space="preserve">=</m:t>
              </m:r>
              <m:r>
                <w:rPr>
                  <w:rFonts w:ascii="Cambria Math" w:hAnsi="Cambria Math"/>
                </w:rPr>
                <m:t xml:space="preserve">a</m:t>
              </m:r>
            </m:sub>
            <m:sup>
              <m:r>
                <w:rPr>
                  <w:rFonts w:ascii="Cambria Math" w:hAnsi="Cambria Math"/>
                </w:rPr>
                <m:t xml:space="preserve">T</m:t>
              </m:r>
            </m:sup>
            <m:e>
              <m:f>
                <m:num>
                  <m:sSubSup>
                    <m:e>
                      <m:r>
                        <w:rPr>
                          <w:rFonts w:ascii="Cambria Math" w:hAnsi="Cambria Math"/>
                        </w:rPr>
                        <m:t xml:space="preserve">ДН</m:t>
                      </m:r>
                    </m:e>
                    <m:sub/>
                    <m:sup>
                      <m:r>
                        <w:rPr>
                          <w:rFonts w:ascii="Cambria Math" w:hAnsi="Cambria Math"/>
                        </w:rPr>
                        <m:t xml:space="preserve">t</m:t>
                      </m:r>
                    </m:sup>
                  </m:sSubSup>
                </m:num>
                <m:den>
                  <m:sSup>
                    <m:e>
                      <m:d>
                        <m:dPr>
                          <m:begChr m:val="("/>
                          <m:endChr m:val=")"/>
                        </m:dPr>
                        <m:e>
                          <m:r>
                            <w:rPr>
                              <w:rFonts w:ascii="Cambria Math" w:hAnsi="Cambria Math"/>
                            </w:rPr>
                            <m:t xml:space="preserve">1</m:t>
                          </m:r>
                          <m:r>
                            <w:rPr>
                              <w:rFonts w:ascii="Cambria Math" w:hAnsi="Cambria Math"/>
                            </w:rPr>
                            <m:t xml:space="preserve">+</m:t>
                          </m:r>
                          <m:r>
                            <w:rPr>
                              <w:rFonts w:ascii="Cambria Math" w:hAnsi="Cambria Math"/>
                            </w:rPr>
                            <m:t xml:space="preserve">rb</m:t>
                          </m:r>
                        </m:e>
                      </m:d>
                    </m:e>
                    <m:sup>
                      <m:d>
                        <m:dPr>
                          <m:begChr m:val="("/>
                          <m:endChr m:val=")"/>
                        </m:dPr>
                        <m:e>
                          <m:r>
                            <w:rPr>
                              <w:rFonts w:ascii="Cambria Math" w:hAnsi="Cambria Math"/>
                            </w:rPr>
                            <m:t xml:space="preserve">t</m:t>
                          </m:r>
                          <m:r>
                            <w:rPr>
                              <w:rFonts w:ascii="Cambria Math" w:hAnsi="Cambria Math"/>
                            </w:rPr>
                            <m:t xml:space="preserve">−</m:t>
                          </m:r>
                          <m:r>
                            <w:rPr>
                              <w:rFonts w:ascii="Cambria Math" w:hAnsi="Cambria Math"/>
                            </w:rPr>
                            <m:t xml:space="preserve">n</m:t>
                          </m:r>
                          <m:r>
                            <w:rPr>
                              <w:rFonts w:ascii="Cambria Math" w:hAnsi="Cambria Math"/>
                            </w:rPr>
                            <m:t xml:space="preserve">+</m:t>
                          </m:r>
                          <m:r>
                            <w:rPr>
                              <w:rFonts w:ascii="Cambria Math" w:hAnsi="Cambria Math"/>
                            </w:rPr>
                            <m:t xml:space="preserve">0,5</m:t>
                          </m:r>
                        </m:e>
                      </m:d>
                    </m:sup>
                  </m:sSup>
                </m:den>
              </m:f>
            </m:e>
          </m:nary>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где:</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ДН</m:t>
            </m:r>
          </m:e>
          <m:sub/>
          <m:sup>
            <m:r>
              <w:rPr>
                <w:rFonts w:ascii="Cambria Math" w:hAnsi="Cambria Math"/>
              </w:rPr>
              <m:t xml:space="preserve">t</m:t>
            </m:r>
          </m:sup>
        </m:sSubSup>
      </m:oMath>
      <w:r>
        <w:rPr/>
        <w:t xml:space="preserve"> </w:t>
      </w:r>
      <w:r>
        <w:rPr/>
        <w:t>- дополнительные налоговые поступления в консолидированный бюджет субъекта Российской Федерации от строительства и эксплуатации жилой и коммерческой недвижимости в результате реализации i-го инфраструктурного проекта в году t.</w:t>
      </w:r>
    </w:p>
    <w:p>
      <w:pPr>
        <w:pStyle w:val="Normal"/>
        <w:spacing w:lineRule="auto" w:line="276" w:before="0" w:after="75"/>
        <w:ind w:right="-45" w:firstLine="709"/>
        <w:rPr/>
      </w:pPr>
      <w:r>
        <w:rPr/>
        <w:t>Дополнительные налоговые поступления в консолидированный бюджет субъекта Российской Федерации от строительства и эксплуатации жилой</w:t>
        <w:br/>
        <w:t>и коммерческой недвижимости в результате реализации i-го инфраструктурного проекта в году t рассчитываются по формуле:</w:t>
      </w:r>
    </w:p>
    <w:p>
      <w:pPr>
        <w:pStyle w:val="Normal"/>
        <w:spacing w:lineRule="auto" w:line="240" w:before="0" w:after="75"/>
        <w:ind w:right="-45" w:firstLine="709"/>
        <w:rPr/>
      </w:pPr>
      <w:r>
        <w:rPr/>
      </w:r>
    </w:p>
    <w:p>
      <w:pPr>
        <w:pStyle w:val="Normal"/>
        <w:spacing w:lineRule="auto" w:line="276" w:before="0" w:after="75"/>
        <w:ind w:left="-15" w:right="90" w:firstLine="540"/>
        <w:jc w:val="center"/>
        <w:rPr/>
      </w:pPr>
      <w:r>
        <w:rPr/>
      </w:r>
      <m:oMathPara xmlns:m="http://schemas.openxmlformats.org/officeDocument/2006/math">
        <m:oMathParaPr>
          <m:jc m:val="center"/>
        </m:oMathParaPr>
        <m:oMath>
          <m:sSubSup>
            <m:e>
              <m:r>
                <w:rPr>
                  <w:rFonts w:ascii="Cambria Math" w:hAnsi="Cambria Math"/>
                </w:rPr>
                <m:t xml:space="preserve">ДН</m:t>
              </m:r>
            </m:e>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ДН</m:t>
              </m:r>
            </m:e>
            <m:sub>
              <m:r>
                <w:rPr>
                  <w:rFonts w:ascii="Cambria Math" w:hAnsi="Cambria Math"/>
                </w:rPr>
                <m:t xml:space="preserve">инв</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ДН</m:t>
              </m:r>
            </m:e>
            <m:sub>
              <m:r>
                <w:rPr>
                  <w:rFonts w:ascii="Cambria Math" w:hAnsi="Cambria Math"/>
                </w:rPr>
                <m:t xml:space="preserve">экспл</m:t>
              </m:r>
            </m:sub>
            <m:sup>
              <m:r>
                <w:rPr>
                  <w:rFonts w:ascii="Cambria Math" w:hAnsi="Cambria Math"/>
                </w:rPr>
                <m:t xml:space="preserve">t</m:t>
              </m:r>
            </m:sup>
          </m:sSubSup>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где:</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ДН</m:t>
            </m:r>
          </m:e>
          <m:sub>
            <m:r>
              <w:rPr>
                <w:rFonts w:ascii="Cambria Math" w:hAnsi="Cambria Math"/>
              </w:rPr>
              <m:t xml:space="preserve">инв</m:t>
            </m:r>
          </m:sub>
          <m:sup>
            <m:r>
              <w:rPr>
                <w:rFonts w:ascii="Cambria Math" w:hAnsi="Cambria Math"/>
              </w:rPr>
              <m:t xml:space="preserve">t</m:t>
            </m:r>
          </m:sup>
        </m:sSubSup>
      </m:oMath>
      <w:r>
        <w:rPr/>
        <w:t xml:space="preserve"> – </w:t>
      </w:r>
      <w:r>
        <w:rPr/>
        <w:t>дополнительные налоговые поступления в консолидированный бюджет субъекта Российской Федерации от строительства жилой</w:t>
        <w:br/>
        <w:t>и коммерческой недвижимости в результате реализации i-го инфраструктурного проекта в году t;</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ДН</m:t>
            </m:r>
          </m:e>
          <m:sub>
            <m:r>
              <w:rPr>
                <w:rFonts w:ascii="Cambria Math" w:hAnsi="Cambria Math"/>
              </w:rPr>
              <m:t xml:space="preserve">экспл</m:t>
            </m:r>
          </m:sub>
          <m:sup>
            <m:r>
              <w:rPr>
                <w:rFonts w:ascii="Cambria Math" w:hAnsi="Cambria Math"/>
              </w:rPr>
              <m:t xml:space="preserve">t</m:t>
            </m:r>
          </m:sup>
        </m:sSubSup>
      </m:oMath>
      <w:r>
        <w:rPr/>
        <w:t xml:space="preserve"> – </w:t>
      </w:r>
      <w:r>
        <w:rPr/>
        <w:t>дополнительные налоговые поступления в консолидированный бюджет субъекта Российской Федерации от эксплуатации жилой</w:t>
        <w:br/>
        <w:t>и коммерческой недвижимости в результате реализации i-го инфраструктурного проекта в году t.</w:t>
      </w:r>
    </w:p>
    <w:p>
      <w:pPr>
        <w:pStyle w:val="Normal"/>
        <w:spacing w:lineRule="auto" w:line="276" w:before="0" w:after="75"/>
        <w:ind w:left="-15" w:right="-45" w:firstLine="724"/>
        <w:rPr/>
      </w:pPr>
      <w:r>
        <w:rPr/>
        <w:t xml:space="preserve">Дополнительные налоговые поступления в консолидированный бюджет субъекта Российской Федерации от строительства жилой и коммерческой недвижимости в результате реализации i-го инфраструктурного проекта в году t рассчитываются по формуле: </w:t>
      </w:r>
    </w:p>
    <w:p>
      <w:pPr>
        <w:pStyle w:val="Normal"/>
        <w:spacing w:lineRule="auto" w:line="240" w:before="0" w:after="75"/>
        <w:ind w:left="-15" w:right="90" w:firstLine="724"/>
        <w:rPr/>
      </w:pPr>
      <w:r>
        <w:rPr/>
      </w:r>
    </w:p>
    <w:p>
      <w:pPr>
        <w:pStyle w:val="Normal"/>
        <w:tabs>
          <w:tab w:val="clear" w:pos="708"/>
          <w:tab w:val="center" w:pos="982" w:leader="none"/>
          <w:tab w:val="center" w:pos="4484" w:leader="none"/>
        </w:tabs>
        <w:spacing w:lineRule="auto" w:line="276" w:before="0" w:after="213"/>
        <w:ind w:right="0" w:hanging="0"/>
        <w:jc w:val="center"/>
        <w:rPr>
          <w:rFonts w:ascii="Calibri" w:hAnsi="Calibri" w:eastAsia="Calibri" w:cs="Calibri"/>
        </w:rPr>
      </w:pPr>
      <w:r>
        <w:rPr/>
      </w:r>
      <m:oMathPara xmlns:m="http://schemas.openxmlformats.org/officeDocument/2006/math">
        <m:oMathParaPr>
          <m:jc m:val="center"/>
        </m:oMathParaPr>
        <m:oMath>
          <m:sSubSup>
            <m:e>
              <m:r>
                <w:rPr>
                  <w:rFonts w:ascii="Cambria Math" w:hAnsi="Cambria Math"/>
                </w:rPr>
                <m:t xml:space="preserve">ДН</m:t>
              </m:r>
            </m:e>
            <m:sub>
              <m:r>
                <w:rPr>
                  <w:rFonts w:ascii="Cambria Math" w:hAnsi="Cambria Math"/>
                </w:rPr>
                <m:t xml:space="preserve">инв</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Нпр</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НДФЛ</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СВ</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НИО</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Нзем</m:t>
              </m:r>
            </m:e>
            <m:sub>
              <m:r>
                <w:rPr>
                  <w:rFonts w:ascii="Cambria Math" w:hAnsi="Cambria Math"/>
                </w:rPr>
                <m:t xml:space="preserve">i</m:t>
              </m:r>
            </m:sub>
            <m:sup>
              <m:r>
                <w:rPr>
                  <w:rFonts w:ascii="Cambria Math" w:hAnsi="Cambria Math"/>
                </w:rPr>
                <m:t xml:space="preserve">t</m:t>
              </m:r>
            </m:sup>
          </m:sSubSup>
        </m:oMath>
      </m:oMathPara>
    </w:p>
    <w:p>
      <w:pPr>
        <w:pStyle w:val="Normal"/>
        <w:tabs>
          <w:tab w:val="clear" w:pos="708"/>
          <w:tab w:val="center" w:pos="982" w:leader="none"/>
          <w:tab w:val="center" w:pos="4484" w:leader="none"/>
        </w:tabs>
        <w:spacing w:lineRule="auto" w:line="276" w:before="0" w:after="213"/>
        <w:ind w:right="0" w:hanging="0"/>
        <w:jc w:val="left"/>
        <w:rPr/>
      </w:pPr>
      <w:r>
        <w:rPr/>
        <w:tab/>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Нпр</m:t>
            </m:r>
          </m:e>
          <m:sub>
            <m:r>
              <w:rPr>
                <w:rFonts w:ascii="Cambria Math" w:hAnsi="Cambria Math"/>
              </w:rPr>
              <m:t xml:space="preserve">i</m:t>
            </m:r>
          </m:sub>
          <m:sup>
            <m:r>
              <w:rPr>
                <w:rFonts w:ascii="Cambria Math" w:hAnsi="Cambria Math"/>
              </w:rPr>
              <m:t xml:space="preserve">t</m:t>
            </m:r>
          </m:sup>
        </m:sSubSup>
      </m:oMath>
      <w:r>
        <w:rPr/>
        <w:t xml:space="preserve">– </w:t>
      </w:r>
      <w:r>
        <w:rPr/>
        <w:t>поступления в консолидированный бюджет субъекта Российской Федерации по налогу на прибыль организаций, возникающему</w:t>
        <w:br/>
        <w:t>у непосредственных участников строительства недвижимости (инвесторы</w:t>
        <w:br/>
        <w:t xml:space="preserve">и подрядчики проекта строительства жилой или коммерческой недвижимости), на инвестиционной стадии инфраструктурного проекта в году t;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НДФЛ</m:t>
            </m:r>
          </m:e>
          <m:sub>
            <m:r>
              <w:rPr>
                <w:rFonts w:ascii="Cambria Math" w:hAnsi="Cambria Math"/>
              </w:rPr>
              <m:t xml:space="preserve">i</m:t>
            </m:r>
          </m:sub>
          <m:sup>
            <m:r>
              <w:rPr>
                <w:rFonts w:ascii="Cambria Math" w:hAnsi="Cambria Math"/>
              </w:rPr>
              <m:t xml:space="preserve">t</m:t>
            </m:r>
          </m:sup>
        </m:sSubSup>
      </m:oMath>
      <w:r>
        <w:rPr/>
        <w:t xml:space="preserve"> – </w:t>
      </w:r>
      <w:r>
        <w:rPr/>
        <w:t>поступления в консолидированный бюджет субъекта</w:t>
        <w:br/>
        <w:t xml:space="preserve">Российской Федерации по налогу на доходы </w:t>
        <w:tab/>
        <w:t>физических лиц, возникающему</w:t>
        <w:br/>
        <w:t>у непосредственных участников строительства недвижимости (инвесторы</w:t>
        <w:br/>
        <w:t>и подрядчики проекта строительства жилой или коммерческой недвижимости),</w:t>
        <w:br/>
        <w:t xml:space="preserve">в году t;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СВ</m:t>
            </m:r>
          </m:e>
          <m:sub>
            <m:r>
              <w:rPr>
                <w:rFonts w:ascii="Cambria Math" w:hAnsi="Cambria Math"/>
              </w:rPr>
              <m:t xml:space="preserve">i</m:t>
            </m:r>
          </m:sub>
          <m:sup>
            <m:r>
              <w:rPr>
                <w:rFonts w:ascii="Cambria Math" w:hAnsi="Cambria Math"/>
              </w:rPr>
              <m:t xml:space="preserve">t</m:t>
            </m:r>
          </m:sup>
        </m:sSubSup>
      </m:oMath>
      <w:r>
        <w:rPr/>
        <w:t xml:space="preserve"> – </w:t>
      </w:r>
      <w:r>
        <w:rPr/>
        <w:t>объем поступлений в консолидированный бюджет субъекта Российской Федерации по страховым взносам, возникающих</w:t>
        <w:br/>
        <w:t>у непосредственных участников строительства недвижимости (инвесторы</w:t>
        <w:br/>
        <w:t>и подрядчики проекта строительства жилой или коммерческой недвижимости)</w:t>
        <w:br/>
        <w:t>в году t;</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НИО</m:t>
            </m:r>
          </m:e>
          <m:sub>
            <m:r>
              <w:rPr>
                <w:rFonts w:ascii="Cambria Math" w:hAnsi="Cambria Math"/>
              </w:rPr>
              <m:t xml:space="preserve">i</m:t>
            </m:r>
          </m:sub>
          <m:sup>
            <m:r>
              <w:rPr>
                <w:rFonts w:ascii="Cambria Math" w:hAnsi="Cambria Math"/>
              </w:rPr>
              <m:t xml:space="preserve">t</m:t>
            </m:r>
          </m:sup>
        </m:sSubSup>
      </m:oMath>
      <w:r>
        <w:rPr/>
        <w:t xml:space="preserve"> – </w:t>
      </w:r>
      <w:r>
        <w:rPr/>
        <w:t>объем поступлений в консолидированный бюджет субъекта Российской Федерации по налогу на имущество организаций, возникающих</w:t>
        <w:br/>
        <w:t>у непосредственных участников строительства недвижимости (инвесторы</w:t>
        <w:br/>
        <w:t xml:space="preserve">и подрядчики проекта строительства жилой недвижимости) в году t;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Нзем</m:t>
            </m:r>
          </m:e>
          <m:sub>
            <m:r>
              <w:rPr>
                <w:rFonts w:ascii="Cambria Math" w:hAnsi="Cambria Math"/>
              </w:rPr>
              <m:t xml:space="preserve">i</m:t>
            </m:r>
          </m:sub>
          <m:sup>
            <m:r>
              <w:rPr>
                <w:rFonts w:ascii="Cambria Math" w:hAnsi="Cambria Math"/>
              </w:rPr>
              <m:t xml:space="preserve">t</m:t>
            </m:r>
          </m:sup>
        </m:sSubSup>
      </m:oMath>
      <w:r>
        <w:rPr/>
        <w:t xml:space="preserve"> – </w:t>
      </w:r>
      <w:r>
        <w:rPr/>
        <w:t>объем поступлений в консолидированный бюджет субъекта Российской Федерации по земельному налогу организаций, возникающих</w:t>
        <w:br/>
        <w:t>у непосредственных участников строительства недвижимости (инвесторы</w:t>
        <w:br/>
        <w:t xml:space="preserve">и подрядчики проекта строительства жилой недвижимости) в году t. </w:t>
      </w:r>
    </w:p>
    <w:p>
      <w:pPr>
        <w:pStyle w:val="Normal"/>
        <w:spacing w:lineRule="auto" w:line="240" w:before="0" w:after="125"/>
        <w:ind w:left="-15" w:right="90" w:firstLine="698"/>
        <w:rPr/>
      </w:pPr>
      <w:r>
        <w:rPr/>
        <w:t xml:space="preserve">Поступления в консолидированный бюджет субъекта Российской Федерации по налогу на прибыль организаций рассчитываются по формуле: </w:t>
      </w:r>
    </w:p>
    <w:p>
      <w:pPr>
        <w:pStyle w:val="Normal"/>
        <w:spacing w:lineRule="auto" w:line="240" w:before="0" w:after="125"/>
        <w:ind w:left="-15" w:right="90" w:firstLine="698"/>
        <w:rPr/>
      </w:pPr>
      <w:r>
        <w:rPr/>
      </w:r>
    </w:p>
    <w:p>
      <w:pPr>
        <w:pStyle w:val="Normal"/>
        <w:spacing w:lineRule="auto" w:line="276" w:before="0" w:after="125"/>
        <w:ind w:left="-15" w:right="90" w:firstLine="698"/>
        <w:jc w:val="center"/>
        <w:rPr>
          <w:i/>
          <w:i/>
        </w:rPr>
      </w:pPr>
      <w:r>
        <w:rPr/>
      </w:r>
      <m:oMathPara xmlns:m="http://schemas.openxmlformats.org/officeDocument/2006/math">
        <m:oMathParaPr>
          <m:jc m:val="center"/>
        </m:oMathParaPr>
        <m:oMath>
          <m:sSubSup>
            <m:e>
              <m:r>
                <w:rPr>
                  <w:rFonts w:ascii="Cambria Math" w:hAnsi="Cambria Math"/>
                </w:rPr>
                <m:t xml:space="preserve">Нпр</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d>
            <m:dPr>
              <m:begChr m:val="("/>
              <m:endChr m:val=")"/>
            </m:dPr>
            <m:e>
              <m:d>
                <m:dPr>
                  <m:begChr m:val="("/>
                  <m:endChr m:val=")"/>
                </m:dPr>
                <m:e>
                  <m:sSubSup>
                    <m:e>
                      <m:sSubSup>
                        <m:e>
                          <m:r>
                            <w:rPr>
                              <w:rFonts w:ascii="Cambria Math" w:hAnsi="Cambria Math"/>
                            </w:rPr>
                            <m:t xml:space="preserve">РС</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r>
                        <w:rPr>
                          <w:rFonts w:ascii="Cambria Math" w:hAnsi="Cambria Math"/>
                        </w:rPr>
                        <m:t xml:space="preserve">СС</m:t>
                      </m:r>
                    </m:e>
                    <m:sub>
                      <m:r>
                        <w:rPr>
                          <w:rFonts w:ascii="Cambria Math" w:hAnsi="Cambria Math"/>
                        </w:rPr>
                        <m:t xml:space="preserve">i</m:t>
                      </m:r>
                    </m:sub>
                    <m:sup>
                      <m:r>
                        <w:rPr>
                          <w:rFonts w:ascii="Cambria Math" w:hAnsi="Cambria Math"/>
                        </w:rPr>
                        <m:t xml:space="preserve">t</m:t>
                      </m:r>
                    </m:sup>
                  </m:sSubSup>
                </m:e>
              </m:d>
              <m:r>
                <w:rPr>
                  <w:rFonts w:ascii="Cambria Math" w:hAnsi="Cambria Math"/>
                </w:rPr>
                <m:t xml:space="preserve">−</m:t>
              </m:r>
              <m:d>
                <m:dPr>
                  <m:begChr m:val="("/>
                  <m:endChr m:val=")"/>
                </m:dPr>
                <m:e>
                  <m:sSubSup>
                    <m:e>
                      <m:sSubSup>
                        <m:e>
                          <m:r>
                            <w:rPr>
                              <w:rFonts w:ascii="Cambria Math" w:hAnsi="Cambria Math"/>
                            </w:rPr>
                            <m:t xml:space="preserve">РС</m:t>
                          </m:r>
                        </m:e>
                        <m:sub>
                          <m:r>
                            <w:rPr>
                              <w:rFonts w:ascii="Cambria Math" w:hAnsi="Cambria Math"/>
                            </w:rPr>
                            <m:t xml:space="preserve">0</m:t>
                          </m:r>
                        </m:sub>
                        <m:sup>
                          <m:r>
                            <w:rPr>
                              <w:rFonts w:ascii="Cambria Math" w:hAnsi="Cambria Math"/>
                            </w:rPr>
                            <m:t xml:space="preserve">t</m:t>
                          </m:r>
                        </m:sup>
                      </m:sSubSup>
                      <m:r>
                        <w:rPr>
                          <w:rFonts w:ascii="Cambria Math" w:hAnsi="Cambria Math"/>
                        </w:rPr>
                        <m:t xml:space="preserve">−</m:t>
                      </m:r>
                      <m:r>
                        <w:rPr>
                          <w:rFonts w:ascii="Cambria Math" w:hAnsi="Cambria Math"/>
                        </w:rPr>
                        <m:t xml:space="preserve">СС</m:t>
                      </m:r>
                    </m:e>
                    <m:sub>
                      <m:r>
                        <w:rPr>
                          <w:rFonts w:ascii="Cambria Math" w:hAnsi="Cambria Math"/>
                        </w:rPr>
                        <m:t xml:space="preserve">0</m:t>
                      </m:r>
                    </m:sub>
                    <m:sup>
                      <m:r>
                        <w:rPr>
                          <w:rFonts w:ascii="Cambria Math" w:hAnsi="Cambria Math"/>
                        </w:rPr>
                        <m:t xml:space="preserve">t</m:t>
                      </m:r>
                    </m:sup>
                  </m:sSubSup>
                </m:e>
              </m:d>
            </m:e>
          </m:d>
          <m:r>
            <w:rPr>
              <w:rFonts w:ascii="Cambria Math" w:hAnsi="Cambria Math"/>
            </w:rPr>
            <m:t xml:space="preserve">∗</m:t>
          </m:r>
          <m:r>
            <w:rPr>
              <w:rFonts w:ascii="Cambria Math" w:hAnsi="Cambria Math"/>
            </w:rPr>
            <m:t xml:space="preserve">0,54</m:t>
          </m:r>
          <m:r>
            <w:rPr>
              <w:rFonts w:ascii="Cambria Math" w:hAnsi="Cambria Math"/>
            </w:rPr>
            <m:t xml:space="preserve">∗</m:t>
          </m:r>
          <m:sSub>
            <m:e>
              <m:r>
                <w:rPr>
                  <w:rFonts w:ascii="Cambria Math" w:hAnsi="Cambria Math"/>
                </w:rPr>
                <m:t xml:space="preserve">Ст</m:t>
              </m:r>
            </m:e>
            <m:sub>
              <m:r>
                <w:rPr>
                  <w:rFonts w:ascii="Cambria Math" w:hAnsi="Cambria Math"/>
                </w:rPr>
                <m:t xml:space="preserve">пр</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СС</m:t>
            </m:r>
          </m:e>
          <m:sub>
            <m:r>
              <w:rPr>
                <w:rFonts w:ascii="Cambria Math" w:hAnsi="Cambria Math"/>
              </w:rPr>
              <m:t xml:space="preserve">0</m:t>
            </m:r>
          </m:sub>
          <m:sup>
            <m:r>
              <w:rPr>
                <w:rFonts w:ascii="Cambria Math" w:hAnsi="Cambria Math"/>
              </w:rPr>
              <m:t xml:space="preserve">t</m:t>
            </m:r>
          </m:sup>
        </m:sSubSup>
      </m:oMath>
      <w:r>
        <w:rPr/>
        <w:t xml:space="preserve"> – </w:t>
      </w:r>
      <w:r>
        <w:rPr/>
        <w:t>себестоимость вводимой в году t недвижимости при отказе</w:t>
        <w:br/>
        <w:t>от реализации i-го инфраструктурного проекта;</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Ст</m:t>
            </m:r>
          </m:e>
          <m:sub>
            <m:r>
              <w:rPr>
                <w:rFonts w:ascii="Cambria Math" w:hAnsi="Cambria Math"/>
              </w:rPr>
              <m:t xml:space="preserve">пр</m:t>
            </m:r>
          </m:sub>
        </m:sSub>
      </m:oMath>
      <w:r>
        <w:rPr/>
        <w:t xml:space="preserve"> – </w:t>
      </w:r>
      <w:r>
        <w:rPr/>
        <w:t xml:space="preserve">ставка налога на прибыль организаций, в части, подлежащей зачислению в консолидированный бюджет субъекта Российской Федерации. </w:t>
      </w:r>
    </w:p>
    <w:p>
      <w:pPr>
        <w:pStyle w:val="Normal"/>
        <w:spacing w:lineRule="auto" w:line="276" w:before="0" w:after="64"/>
        <w:ind w:left="-15" w:right="90" w:firstLine="698"/>
        <w:rPr/>
      </w:pPr>
      <w:r>
        <w:rPr/>
        <w:t xml:space="preserve">Поступления в консолидированный бюджет субъекта Российской Федерации по налогу на доходы физических лиц рассчитываются по формуле: </w:t>
      </w:r>
    </w:p>
    <w:p>
      <w:pPr>
        <w:pStyle w:val="Normal"/>
        <w:spacing w:lineRule="auto" w:line="240" w:before="0" w:after="64"/>
        <w:ind w:left="-15" w:right="90" w:firstLine="698"/>
        <w:rPr/>
      </w:pPr>
      <w:r>
        <w:rPr/>
      </w:r>
    </w:p>
    <w:p>
      <w:pPr>
        <w:pStyle w:val="Normal"/>
        <w:spacing w:lineRule="auto" w:line="276" w:before="0" w:after="213"/>
        <w:ind w:left="718" w:right="0" w:hanging="10"/>
        <w:jc w:val="center"/>
        <w:rPr>
          <w:sz w:val="24"/>
        </w:rPr>
      </w:pPr>
      <w:r>
        <w:rPr/>
      </w:r>
      <m:oMathPara xmlns:m="http://schemas.openxmlformats.org/officeDocument/2006/math">
        <m:oMathParaPr>
          <m:jc m:val="center"/>
        </m:oMathParaPr>
        <m:oMath>
          <m:sSubSup>
            <m:e>
              <m:r>
                <w:rPr>
                  <w:rFonts w:ascii="Cambria Math" w:hAnsi="Cambria Math"/>
                </w:rPr>
                <m:t xml:space="preserve">НДФЛ</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d>
            <m:dPr>
              <m:begChr m:val="("/>
              <m:endChr m:val=")"/>
            </m:dPr>
            <m:e>
              <m:sSubSup>
                <m:e>
                  <m:r>
                    <w:rPr>
                      <w:rFonts w:ascii="Cambria Math" w:hAnsi="Cambria Math"/>
                    </w:rPr>
                    <m:t xml:space="preserve">СС</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СС</m:t>
                  </m:r>
                </m:e>
                <m:sub>
                  <m:r>
                    <w:rPr>
                      <w:rFonts w:ascii="Cambria Math" w:hAnsi="Cambria Math"/>
                    </w:rPr>
                    <m:t xml:space="preserve">0</m:t>
                  </m:r>
                </m:sub>
                <m:sup>
                  <m:r>
                    <w:rPr>
                      <w:rFonts w:ascii="Cambria Math" w:hAnsi="Cambria Math"/>
                    </w:rPr>
                    <m:t xml:space="preserve">t</m:t>
                  </m:r>
                </m:sup>
              </m:sSubSup>
            </m:e>
          </m:d>
          <m:r>
            <w:rPr>
              <w:rFonts w:ascii="Cambria Math" w:hAnsi="Cambria Math"/>
            </w:rPr>
            <m:t xml:space="preserve">∗</m:t>
          </m:r>
          <m:sSub>
            <m:e>
              <m:r>
                <w:rPr>
                  <w:rFonts w:ascii="Cambria Math" w:hAnsi="Cambria Math"/>
                </w:rPr>
                <m:t xml:space="preserve">β</m:t>
              </m:r>
            </m:e>
            <m:sub>
              <m:r>
                <w:rPr>
                  <w:rFonts w:ascii="Cambria Math" w:hAnsi="Cambria Math"/>
                </w:rPr>
                <m:t xml:space="preserve">ФОТ</m:t>
              </m:r>
            </m:sub>
          </m:sSub>
          <m:r>
            <w:rPr>
              <w:rFonts w:ascii="Cambria Math" w:hAnsi="Cambria Math"/>
            </w:rPr>
            <m:t xml:space="preserve">∗</m:t>
          </m:r>
          <m:sSub>
            <m:e>
              <m:r>
                <w:rPr>
                  <w:rFonts w:ascii="Cambria Math" w:hAnsi="Cambria Math"/>
                </w:rPr>
                <m:t xml:space="preserve">Ст</m:t>
              </m:r>
            </m:e>
            <m:sub>
              <m:r>
                <w:rPr>
                  <w:rFonts w:ascii="Cambria Math" w:hAnsi="Cambria Math"/>
                </w:rPr>
                <m:t xml:space="preserve">НДФЛ</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Fonts w:cs="Cambria Math" w:ascii="Cambria Math" w:hAnsi="Cambria Math"/>
        </w:rPr>
        <w:t>𝛽</w:t>
      </w:r>
      <w:r>
        <w:rPr/>
        <w:t>ФОТ – средняя доля фонда оплаты труда в себестоимости строительства</w:t>
        <w:br/>
        <w:t xml:space="preserve">в соответствующем субъекте Российской Федерации по данным Министерства строительства и жилищно-коммунального хозяйства Российской Федерации; </w:t>
      </w:r>
    </w:p>
    <w:p>
      <w:pPr>
        <w:pStyle w:val="Normal"/>
        <w:tabs>
          <w:tab w:val="clear" w:pos="708"/>
          <w:tab w:val="center" w:pos="941" w:leader="none"/>
          <w:tab w:val="center" w:pos="2945" w:leader="none"/>
          <w:tab w:val="center" w:pos="4799" w:leader="none"/>
        </w:tabs>
        <w:spacing w:lineRule="auto" w:line="276" w:before="0" w:after="120"/>
        <w:ind w:left="709" w:right="0" w:hanging="0"/>
        <w:rPr/>
      </w:pPr>
      <w:r>
        <w:rPr/>
      </w:r>
      <m:oMath xmlns:m="http://schemas.openxmlformats.org/officeDocument/2006/math">
        <m:sSub>
          <m:e>
            <m:r>
              <w:rPr>
                <w:rFonts w:ascii="Cambria Math" w:hAnsi="Cambria Math"/>
              </w:rPr>
              <m:t xml:space="preserve">Ст</m:t>
            </m:r>
          </m:e>
          <m:sub>
            <m:r>
              <w:rPr>
                <w:rFonts w:ascii="Cambria Math" w:hAnsi="Cambria Math"/>
              </w:rPr>
              <m:t xml:space="preserve">НДФЛ</m:t>
            </m:r>
          </m:sub>
        </m:sSub>
      </m:oMath>
      <w:r>
        <w:rPr/>
        <w:t xml:space="preserve"> –  </w:t>
      </w:r>
      <w:r>
        <w:rPr/>
        <w:t xml:space="preserve">ставка налога на доходы физических лиц. </w:t>
      </w:r>
    </w:p>
    <w:p>
      <w:pPr>
        <w:pStyle w:val="Normal"/>
        <w:spacing w:lineRule="auto" w:line="276" w:before="0" w:after="118"/>
        <w:ind w:left="-15" w:right="-45" w:firstLine="724"/>
        <w:rPr/>
      </w:pPr>
      <w:r>
        <w:rPr/>
        <w:t xml:space="preserve">Поступления в консолидированный бюджет субъекта Российской Федерации по страховым взносам рассчитываются по формуле: </w:t>
      </w:r>
    </w:p>
    <w:p>
      <w:pPr>
        <w:pStyle w:val="Normal"/>
        <w:spacing w:lineRule="auto" w:line="240" w:before="0" w:after="118"/>
        <w:ind w:left="-15" w:right="90" w:firstLine="724"/>
        <w:rPr/>
      </w:pPr>
      <w:r>
        <w:rPr/>
      </w:r>
    </w:p>
    <w:p>
      <w:pPr>
        <w:pStyle w:val="Normal"/>
        <w:spacing w:lineRule="auto" w:line="276" w:before="0" w:after="118"/>
        <w:ind w:left="-15" w:right="90" w:firstLine="698"/>
        <w:jc w:val="center"/>
        <w:rPr/>
      </w:pPr>
      <w:r>
        <w:rPr/>
      </w:r>
      <m:oMathPara xmlns:m="http://schemas.openxmlformats.org/officeDocument/2006/math">
        <m:oMathParaPr>
          <m:jc m:val="center"/>
        </m:oMathParaPr>
        <m:oMath>
          <m:sSubSup>
            <m:e>
              <m:r>
                <w:rPr>
                  <w:rFonts w:ascii="Cambria Math" w:hAnsi="Cambria Math"/>
                </w:rPr>
                <m:t xml:space="preserve">СВ</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d>
            <m:dPr>
              <m:begChr m:val="("/>
              <m:endChr m:val=")"/>
            </m:dPr>
            <m:e>
              <m:sSubSup>
                <m:e>
                  <m:r>
                    <w:rPr>
                      <w:rFonts w:ascii="Cambria Math" w:hAnsi="Cambria Math"/>
                    </w:rPr>
                    <m:t xml:space="preserve">СС</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СС</m:t>
                  </m:r>
                </m:e>
                <m:sub>
                  <m:r>
                    <w:rPr>
                      <w:rFonts w:ascii="Cambria Math" w:hAnsi="Cambria Math"/>
                    </w:rPr>
                    <m:t xml:space="preserve">0</m:t>
                  </m:r>
                </m:sub>
                <m:sup>
                  <m:r>
                    <w:rPr>
                      <w:rFonts w:ascii="Cambria Math" w:hAnsi="Cambria Math"/>
                    </w:rPr>
                    <m:t xml:space="preserve">t</m:t>
                  </m:r>
                </m:sup>
              </m:sSubSup>
            </m:e>
          </m:d>
          <m:r>
            <w:rPr>
              <w:rFonts w:ascii="Cambria Math" w:hAnsi="Cambria Math"/>
            </w:rPr>
            <m:t xml:space="preserve">∗</m:t>
          </m:r>
          <m:sSub>
            <m:e>
              <m:r>
                <w:rPr>
                  <w:rFonts w:ascii="Cambria Math" w:hAnsi="Cambria Math"/>
                </w:rPr>
                <m:t xml:space="preserve">β</m:t>
              </m:r>
            </m:e>
            <m:sub>
              <m:r>
                <w:rPr>
                  <w:rFonts w:ascii="Cambria Math" w:hAnsi="Cambria Math"/>
                </w:rPr>
                <m:t xml:space="preserve">ФОТ</m:t>
              </m:r>
            </m:sub>
          </m:sSub>
          <m:r>
            <w:rPr>
              <w:rFonts w:ascii="Cambria Math" w:hAnsi="Cambria Math"/>
            </w:rPr>
            <m:t xml:space="preserve">∗</m:t>
          </m:r>
          <m:sSub>
            <m:e>
              <m:r>
                <w:rPr>
                  <w:rFonts w:ascii="Cambria Math" w:hAnsi="Cambria Math"/>
                </w:rPr>
                <m:t xml:space="preserve">Ст</m:t>
              </m:r>
            </m:e>
            <m:sub>
              <m:r>
                <w:rPr>
                  <w:rFonts w:ascii="Cambria Math" w:hAnsi="Cambria Math"/>
                </w:rPr>
                <m:t xml:space="preserve">св</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Ст</m:t>
            </m:r>
          </m:e>
          <m:sub>
            <m:r>
              <w:rPr>
                <w:rFonts w:ascii="Cambria Math" w:hAnsi="Cambria Math"/>
              </w:rPr>
              <m:t xml:space="preserve">св</m:t>
            </m:r>
          </m:sub>
        </m:sSub>
      </m:oMath>
      <w:r>
        <w:rPr/>
        <w:t xml:space="preserve"> – </w:t>
      </w:r>
      <w:r>
        <w:rPr/>
        <w:t>ставка страховых взносов, в части, подлежащей зачислению</w:t>
        <w:br/>
        <w:t xml:space="preserve">в консолидированный бюджет субъекта Российской Федерации. </w:t>
      </w:r>
    </w:p>
    <w:p>
      <w:pPr>
        <w:pStyle w:val="Normal"/>
        <w:spacing w:lineRule="auto" w:line="276" w:before="0" w:after="63"/>
        <w:ind w:left="-15" w:right="-45" w:firstLine="724"/>
        <w:rPr/>
      </w:pPr>
      <w:r>
        <w:rPr/>
        <w:t xml:space="preserve">Поступления в консолидированный бюджет субъекта Российской Федерации по налогу на имущество организаций определяется по формуле: </w:t>
      </w:r>
    </w:p>
    <w:p>
      <w:pPr>
        <w:pStyle w:val="Normal"/>
        <w:spacing w:lineRule="auto" w:line="240" w:before="0" w:after="63"/>
        <w:ind w:left="-15" w:right="90" w:firstLine="724"/>
        <w:rPr/>
      </w:pPr>
      <w:r>
        <w:rPr/>
      </w:r>
    </w:p>
    <w:p>
      <w:pPr>
        <w:pStyle w:val="Normal"/>
        <w:spacing w:lineRule="auto" w:line="276" w:before="0" w:after="118"/>
        <w:ind w:left="-15" w:right="90" w:firstLine="698"/>
        <w:jc w:val="center"/>
        <w:rPr/>
      </w:pPr>
      <w:r>
        <w:rPr/>
      </w:r>
      <m:oMathPara xmlns:m="http://schemas.openxmlformats.org/officeDocument/2006/math">
        <m:oMathParaPr>
          <m:jc m:val="center"/>
        </m:oMathParaPr>
        <m:oMath>
          <m:sSubSup>
            <m:e>
              <m:r>
                <w:rPr>
                  <w:rFonts w:ascii="Cambria Math" w:hAnsi="Cambria Math"/>
                </w:rPr>
                <m:t xml:space="preserve">НИО</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d>
            <m:dPr>
              <m:begChr m:val="("/>
              <m:endChr m:val=")"/>
            </m:dPr>
            <m:e>
              <m:sSubSup>
                <m:e>
                  <m:r>
                    <w:rPr>
                      <w:rFonts w:ascii="Cambria Math" w:hAnsi="Cambria Math"/>
                    </w:rPr>
                    <m:t xml:space="preserve">КС</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КС</m:t>
                  </m:r>
                </m:e>
                <m:sub>
                  <m:r>
                    <w:rPr>
                      <w:rFonts w:ascii="Cambria Math" w:hAnsi="Cambria Math"/>
                    </w:rPr>
                    <m:t xml:space="preserve">0</m:t>
                  </m:r>
                </m:sub>
                <m:sup>
                  <m:r>
                    <w:rPr>
                      <w:rFonts w:ascii="Cambria Math" w:hAnsi="Cambria Math"/>
                    </w:rPr>
                    <m:t xml:space="preserve">t</m:t>
                  </m:r>
                </m:sup>
              </m:sSubSup>
            </m:e>
          </m:d>
          <m:r>
            <w:rPr>
              <w:rFonts w:ascii="Cambria Math" w:hAnsi="Cambria Math"/>
            </w:rPr>
            <m:t xml:space="preserve">∗</m:t>
          </m:r>
          <m:sSub>
            <m:e>
              <m:r>
                <w:rPr>
                  <w:rFonts w:ascii="Cambria Math" w:hAnsi="Cambria Math"/>
                </w:rPr>
                <m:t xml:space="preserve">Ст</m:t>
              </m:r>
            </m:e>
            <m:sub>
              <m:r>
                <w:rPr>
                  <w:rFonts w:ascii="Cambria Math" w:hAnsi="Cambria Math"/>
                </w:rPr>
                <m:t xml:space="preserve">имущ</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КС</m:t>
            </m:r>
          </m:e>
          <m:sub>
            <m:r>
              <w:rPr>
                <w:rFonts w:ascii="Cambria Math" w:hAnsi="Cambria Math"/>
              </w:rPr>
              <m:t xml:space="preserve">i</m:t>
            </m:r>
          </m:sub>
          <m:sup>
            <m:r>
              <w:rPr>
                <w:rFonts w:ascii="Cambria Math" w:hAnsi="Cambria Math"/>
              </w:rPr>
              <m:t xml:space="preserve">t</m:t>
            </m:r>
          </m:sup>
        </m:sSubSup>
      </m:oMath>
      <w:r>
        <w:rPr/>
        <w:t xml:space="preserve"> – </w:t>
      </w:r>
      <w:r>
        <w:rPr/>
        <w:t xml:space="preserve">оценка кадастровой стоимости в период t объектов недвижимости, которые будут созданы при реализации i-го инфраструктурного проекта;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КС</m:t>
            </m:r>
          </m:e>
          <m:sub>
            <m:r>
              <w:rPr>
                <w:rFonts w:ascii="Cambria Math" w:hAnsi="Cambria Math"/>
              </w:rPr>
              <m:t xml:space="preserve">0</m:t>
            </m:r>
          </m:sub>
          <m:sup>
            <m:r>
              <w:rPr>
                <w:rFonts w:ascii="Cambria Math" w:hAnsi="Cambria Math"/>
              </w:rPr>
              <m:t xml:space="preserve">t</m:t>
            </m:r>
          </m:sup>
        </m:sSubSup>
      </m:oMath>
      <w:r>
        <w:rPr/>
        <w:t xml:space="preserve"> – </w:t>
      </w:r>
      <w:r>
        <w:rPr/>
        <w:t>оценка кадастровой стоимости в период t объектов недвижимости, которые будут созданы при отказе от реализации i-го инфраструктурного проекта;</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Ст</m:t>
            </m:r>
          </m:e>
          <m:sub>
            <m:r>
              <w:rPr>
                <w:rFonts w:ascii="Cambria Math" w:hAnsi="Cambria Math"/>
              </w:rPr>
              <m:t xml:space="preserve">имущ</m:t>
            </m:r>
          </m:sub>
        </m:sSub>
      </m:oMath>
      <w:r>
        <w:rPr/>
        <w:t xml:space="preserve"> – </w:t>
      </w:r>
      <w:r>
        <w:rPr/>
        <w:t xml:space="preserve">ставка налога на имущество организаций в период t (2,2 % или иная налоговая ставка, установленная законом субъекта Российской Федерации). </w:t>
      </w:r>
    </w:p>
    <w:p>
      <w:pPr>
        <w:pStyle w:val="Normal"/>
        <w:spacing w:lineRule="auto" w:line="276" w:before="0" w:after="46"/>
        <w:ind w:left="-15" w:right="90" w:firstLine="724"/>
        <w:rPr/>
      </w:pPr>
      <w:r>
        <w:rPr/>
        <w:t xml:space="preserve">Поступления в консолидированный бюджет субъекта Российской Федерации по земельному налогу определяется по формуле: </w:t>
      </w:r>
    </w:p>
    <w:p>
      <w:pPr>
        <w:pStyle w:val="Normal"/>
        <w:spacing w:lineRule="auto" w:line="240" w:before="0" w:after="46"/>
        <w:ind w:left="-15" w:right="90" w:firstLine="724"/>
        <w:rPr/>
      </w:pPr>
      <w:r>
        <w:rPr/>
      </w:r>
    </w:p>
    <w:p>
      <w:pPr>
        <w:pStyle w:val="Normal"/>
        <w:spacing w:lineRule="auto" w:line="276" w:before="0" w:after="118"/>
        <w:ind w:left="-15" w:right="90" w:firstLine="698"/>
        <w:jc w:val="center"/>
        <w:rPr/>
      </w:pPr>
      <w:r>
        <w:rPr/>
      </w:r>
      <m:oMathPara xmlns:m="http://schemas.openxmlformats.org/officeDocument/2006/math">
        <m:oMathParaPr>
          <m:jc m:val="center"/>
        </m:oMathParaPr>
        <m:oMath>
          <m:sSubSup>
            <m:e>
              <m:r>
                <w:rPr>
                  <w:rFonts w:ascii="Cambria Math" w:hAnsi="Cambria Math"/>
                </w:rPr>
                <m:t xml:space="preserve">Нзем</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d>
            <m:dPr>
              <m:begChr m:val="("/>
              <m:endChr m:val=")"/>
            </m:dPr>
            <m:e>
              <m:sSubSup>
                <m:e>
                  <m:r>
                    <w:rPr>
                      <w:rFonts w:ascii="Cambria Math" w:hAnsi="Cambria Math"/>
                    </w:rPr>
                    <m:t xml:space="preserve">КСзем</m:t>
                  </m:r>
                </m:e>
                <m:sub>
                  <m:r>
                    <w:rPr>
                      <w:rFonts w:ascii="Cambria Math" w:hAnsi="Cambria Math"/>
                    </w:rPr>
                    <m:t xml:space="preserve">i</m:t>
                  </m:r>
                </m:sub>
                <m:sup>
                  <m:r>
                    <w:rPr>
                      <w:rFonts w:ascii="Cambria Math" w:hAnsi="Cambria Math"/>
                    </w:rPr>
                    <m:t xml:space="preserve">t</m:t>
                  </m:r>
                </m:sup>
              </m:sSubSup>
              <m:r>
                <w:rPr>
                  <w:rFonts w:ascii="Cambria Math" w:hAnsi="Cambria Math"/>
                </w:rPr>
                <m:t xml:space="preserve">−</m:t>
              </m:r>
              <m:sSubSup>
                <m:e>
                  <m:r>
                    <w:rPr>
                      <w:rFonts w:ascii="Cambria Math" w:hAnsi="Cambria Math"/>
                    </w:rPr>
                    <m:t xml:space="preserve">КСзем</m:t>
                  </m:r>
                </m:e>
                <m:sub>
                  <m:r>
                    <w:rPr>
                      <w:rFonts w:ascii="Cambria Math" w:hAnsi="Cambria Math"/>
                    </w:rPr>
                    <m:t xml:space="preserve">0</m:t>
                  </m:r>
                </m:sub>
                <m:sup>
                  <m:r>
                    <w:rPr>
                      <w:rFonts w:ascii="Cambria Math" w:hAnsi="Cambria Math"/>
                    </w:rPr>
                    <m:t xml:space="preserve">t</m:t>
                  </m:r>
                </m:sup>
              </m:sSubSup>
            </m:e>
          </m:d>
          <m:r>
            <w:rPr>
              <w:rFonts w:ascii="Cambria Math" w:hAnsi="Cambria Math"/>
            </w:rPr>
            <m:t xml:space="preserve">∗</m:t>
          </m:r>
          <m:sSub>
            <m:e>
              <m:r>
                <w:rPr>
                  <w:rFonts w:ascii="Cambria Math" w:hAnsi="Cambria Math"/>
                </w:rPr>
                <m:t xml:space="preserve">Ст</m:t>
              </m:r>
            </m:e>
            <m:sub>
              <m:r>
                <w:rPr>
                  <w:rFonts w:ascii="Cambria Math" w:hAnsi="Cambria Math"/>
                </w:rPr>
                <m:t xml:space="preserve">зем</m:t>
              </m:r>
            </m:sub>
          </m:sSub>
        </m:oMath>
      </m:oMathPara>
    </w:p>
    <w:p>
      <w:pPr>
        <w:pStyle w:val="Normal"/>
        <w:tabs>
          <w:tab w:val="clear" w:pos="708"/>
          <w:tab w:val="center" w:pos="941" w:leader="none"/>
          <w:tab w:val="center" w:pos="2945" w:leader="none"/>
          <w:tab w:val="center" w:pos="4799" w:leader="none"/>
        </w:tabs>
        <w:spacing w:lineRule="auto" w:line="276" w:before="0" w:after="120"/>
        <w:ind w:left="709" w:right="0" w:hanging="0"/>
        <w:rPr/>
      </w:pPr>
      <w:r>
        <w:rPr/>
        <w:t xml:space="preserve">где: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КСзем</m:t>
            </m:r>
          </m:e>
          <m:sub>
            <m:r>
              <w:rPr>
                <w:rFonts w:ascii="Cambria Math" w:hAnsi="Cambria Math"/>
              </w:rPr>
              <m:t xml:space="preserve">i</m:t>
            </m:r>
          </m:sub>
          <m:sup>
            <m:r>
              <w:rPr>
                <w:rFonts w:ascii="Cambria Math" w:hAnsi="Cambria Math"/>
              </w:rPr>
              <m:t xml:space="preserve">t</m:t>
            </m:r>
          </m:sup>
        </m:sSubSup>
      </m:oMath>
      <w:r>
        <w:rPr/>
        <w:t xml:space="preserve"> – </w:t>
      </w:r>
      <w:r>
        <w:rPr/>
        <w:t>оценка кадастровой стоимости в период t земельного участка,</w:t>
        <w:br/>
        <w:t xml:space="preserve">при реализации i-го инфраструктурного проекта;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Sup>
          <m:e>
            <m:r>
              <w:rPr>
                <w:rFonts w:ascii="Cambria Math" w:hAnsi="Cambria Math"/>
              </w:rPr>
              <m:t xml:space="preserve">КСзем</m:t>
            </m:r>
          </m:e>
          <m:sub>
            <m:r>
              <w:rPr>
                <w:rFonts w:ascii="Cambria Math" w:hAnsi="Cambria Math"/>
              </w:rPr>
              <m:t xml:space="preserve">0</m:t>
            </m:r>
          </m:sub>
          <m:sup>
            <m:r>
              <w:rPr>
                <w:rFonts w:ascii="Cambria Math" w:hAnsi="Cambria Math"/>
              </w:rPr>
              <m:t xml:space="preserve">t</m:t>
            </m:r>
          </m:sup>
        </m:sSubSup>
      </m:oMath>
      <w:r>
        <w:rPr/>
        <w:t xml:space="preserve"> – </w:t>
      </w:r>
      <w:r>
        <w:rPr/>
        <w:t>оценка кадастровой стоимости в период t земельного участка,</w:t>
        <w:br/>
        <w:t xml:space="preserve">при отказе от реализации i-го инфраструктурного проекта; </w:t>
      </w:r>
    </w:p>
    <w:p>
      <w:pPr>
        <w:pStyle w:val="Normal"/>
        <w:tabs>
          <w:tab w:val="clear" w:pos="708"/>
          <w:tab w:val="center" w:pos="941" w:leader="none"/>
          <w:tab w:val="center" w:pos="2945" w:leader="none"/>
          <w:tab w:val="center" w:pos="4799" w:leader="none"/>
        </w:tabs>
        <w:spacing w:lineRule="auto" w:line="276" w:before="0" w:after="120"/>
        <w:ind w:right="0" w:firstLine="709"/>
        <w:rPr/>
      </w:pPr>
      <w:r>
        <w:rPr/>
      </w:r>
      <m:oMath xmlns:m="http://schemas.openxmlformats.org/officeDocument/2006/math">
        <m:sSub>
          <m:e>
            <m:r>
              <w:rPr>
                <w:rFonts w:ascii="Cambria Math" w:hAnsi="Cambria Math"/>
              </w:rPr>
              <m:t xml:space="preserve">Ст</m:t>
            </m:r>
          </m:e>
          <m:sub>
            <m:r>
              <w:rPr>
                <w:rFonts w:ascii="Cambria Math" w:hAnsi="Cambria Math"/>
              </w:rPr>
              <m:t xml:space="preserve">зем</m:t>
            </m:r>
          </m:sub>
        </m:sSub>
      </m:oMath>
      <w:r>
        <w:rPr/>
        <w:t xml:space="preserve"> – </w:t>
      </w:r>
      <w:r>
        <w:rPr/>
        <w:t xml:space="preserve">ставка земельного налога, установленная на территории соответствующего муниципального образования. </w:t>
      </w:r>
    </w:p>
    <w:p>
      <w:pPr>
        <w:pStyle w:val="Normal"/>
        <w:spacing w:lineRule="auto" w:line="276" w:before="0" w:after="148"/>
        <w:ind w:left="-15" w:right="-45" w:firstLine="724"/>
        <w:rPr>
          <w:color w:val="FF0000"/>
        </w:rPr>
      </w:pPr>
      <w:r>
        <w:rPr/>
        <w:t>4. Дополнительные налоговые поступления в консолидированный бюджет субъекта Российской Федерации от эксплуатации объектов жилой</w:t>
        <w:br/>
        <w:t>и коммерческой недвижимости, строительство которых стало возможным</w:t>
        <w:br/>
        <w:t>в результате реализации i-го инфраструктурного проекта в году t рассчитываются по формуле:</w:t>
      </w:r>
      <w:r>
        <w:rPr>
          <w:color w:val="FF0000"/>
        </w:rPr>
        <w:t xml:space="preserve"> </w:t>
      </w:r>
    </w:p>
    <w:p>
      <w:pPr>
        <w:pStyle w:val="Normal"/>
        <w:spacing w:lineRule="auto" w:line="240" w:before="0" w:after="148"/>
        <w:ind w:left="-15" w:right="-45" w:firstLine="724"/>
        <w:rPr/>
      </w:pPr>
      <w:r>
        <w:rPr/>
      </w:r>
    </w:p>
    <w:p>
      <w:pPr>
        <w:pStyle w:val="Normal"/>
        <w:tabs>
          <w:tab w:val="clear" w:pos="708"/>
          <w:tab w:val="center" w:pos="1135" w:leader="none"/>
          <w:tab w:val="center" w:pos="3788" w:leader="none"/>
        </w:tabs>
        <w:spacing w:lineRule="auto" w:line="276" w:before="0" w:after="328"/>
        <w:ind w:right="0" w:hanging="0"/>
        <w:jc w:val="left"/>
        <w:rPr/>
      </w:pPr>
      <w:r>
        <w:rPr>
          <w:rFonts w:eastAsia="Calibri" w:cs="Calibri" w:ascii="Calibri" w:hAnsi="Calibri"/>
          <w:sz w:val="22"/>
        </w:rPr>
        <w:tab/>
      </w:r>
      <w:r>
        <w:rPr/>
      </w:r>
      <m:oMath xmlns:m="http://schemas.openxmlformats.org/officeDocument/2006/math">
        <m:sSubSup>
          <m:e>
            <m:r>
              <w:rPr>
                <w:rFonts w:ascii="Cambria Math" w:hAnsi="Cambria Math"/>
              </w:rPr>
              <m:t xml:space="preserve">ДН</m:t>
            </m:r>
          </m:e>
          <m:sub>
            <m:r>
              <w:rPr>
                <w:rFonts w:ascii="Cambria Math" w:hAnsi="Cambria Math"/>
              </w:rPr>
              <m:t xml:space="preserve">экспл</m:t>
            </m:r>
          </m:sub>
          <m:sup>
            <m:r>
              <w:rPr>
                <w:rFonts w:ascii="Cambria Math" w:hAnsi="Cambria Math"/>
              </w:rPr>
              <m:t xml:space="preserve">t</m:t>
            </m:r>
          </m:sup>
        </m:sSubSup>
      </m:oMath>
      <w:r>
        <w:rPr>
          <w:rFonts w:eastAsia="Cambria Math" w:cs="Cambria Math" w:ascii="Cambria Math" w:hAnsi="Cambria Math"/>
          <w:sz w:val="23"/>
        </w:rPr>
        <w:tab/>
      </w:r>
      <w:r>
        <w:rPr>
          <w:rFonts w:eastAsia="Cambria Math" w:cs="Cambria Math" w:ascii="Cambria Math" w:hAnsi="Cambria Math"/>
          <w:sz w:val="32"/>
        </w:rPr>
        <w:t>=   𝑆</w:t>
      </w:r>
      <w:r>
        <w:rPr>
          <w:rFonts w:eastAsia="Cambria Math" w:cs="Cambria Math" w:ascii="Cambria Math" w:hAnsi="Cambria Math"/>
          <w:sz w:val="23"/>
        </w:rPr>
        <w:t xml:space="preserve">ввод 𝑖 </w:t>
      </w:r>
      <w:r>
        <w:rPr>
          <w:rFonts w:eastAsia="Cambria Math" w:cs="Cambria Math" w:ascii="Cambria Math" w:hAnsi="Cambria Math"/>
          <w:sz w:val="32"/>
        </w:rPr>
        <w:t>× 𝑇</w:t>
      </w:r>
      <w:r>
        <w:rPr>
          <w:rFonts w:eastAsia="Cambria Math" w:cs="Cambria Math" w:ascii="Cambria Math" w:hAnsi="Cambria Math"/>
          <w:sz w:val="23"/>
        </w:rPr>
        <w:t xml:space="preserve">𝑖 </w:t>
      </w:r>
      <w:r>
        <w:rPr>
          <w:rFonts w:eastAsia="Cambria Math" w:cs="Cambria Math" w:ascii="Cambria Math" w:hAnsi="Cambria Math"/>
          <w:sz w:val="32"/>
        </w:rPr>
        <w:t>× 𝑘</w:t>
      </w:r>
      <w:r>
        <w:rPr>
          <w:rFonts w:eastAsia="Cambria Math" w:cs="Cambria Math" w:ascii="Cambria Math" w:hAnsi="Cambria Math"/>
          <w:sz w:val="23"/>
        </w:rPr>
        <w:t xml:space="preserve">суб </w:t>
      </w:r>
      <w:r>
        <w:rPr/>
        <w:t xml:space="preserve">  </w:t>
      </w:r>
    </w:p>
    <w:p>
      <w:pPr>
        <w:pStyle w:val="Normal"/>
        <w:spacing w:lineRule="auto" w:line="276" w:before="0" w:after="87"/>
        <w:ind w:left="-15" w:right="-45" w:firstLine="724"/>
        <w:rPr>
          <w:rFonts w:ascii="Cambria Math" w:hAnsi="Cambria Math" w:eastAsia="Cambria Math" w:cs="Cambria Math"/>
          <w:sz w:val="32"/>
        </w:rPr>
      </w:pPr>
      <w:r>
        <w:rPr/>
        <w:t xml:space="preserve">где: </w:t>
      </w:r>
      <w:r>
        <w:rPr>
          <w:rFonts w:eastAsia="Cambria Math" w:cs="Cambria Math" w:ascii="Cambria Math" w:hAnsi="Cambria Math"/>
          <w:sz w:val="32"/>
        </w:rPr>
        <w:t xml:space="preserve"> </w:t>
      </w:r>
    </w:p>
    <w:p>
      <w:pPr>
        <w:pStyle w:val="Normal"/>
        <w:spacing w:lineRule="auto" w:line="276" w:before="0" w:after="87"/>
        <w:ind w:left="-15" w:right="-45" w:firstLine="724"/>
        <w:rPr/>
      </w:pPr>
      <w:r>
        <w:rPr>
          <w:rFonts w:eastAsia="Cambria Math" w:cs="Cambria Math" w:ascii="Cambria Math" w:hAnsi="Cambria Math"/>
          <w:sz w:val="32"/>
        </w:rPr>
        <w:t>𝑆</w:t>
      </w:r>
      <w:r>
        <w:rPr>
          <w:rFonts w:eastAsia="Cambria Math" w:cs="Cambria Math" w:ascii="Cambria Math" w:hAnsi="Cambria Math"/>
          <w:sz w:val="32"/>
          <w:vertAlign w:val="subscript"/>
        </w:rPr>
        <w:t>ввод</w:t>
      </w:r>
      <w:r>
        <w:rPr>
          <w:rFonts w:eastAsia="Cambria Math" w:cs="Cambria Math" w:ascii="Cambria Math" w:hAnsi="Cambria Math"/>
          <w:sz w:val="23"/>
        </w:rPr>
        <w:t xml:space="preserve"> 𝑖</w:t>
      </w:r>
      <w:r>
        <w:rPr>
          <w:sz w:val="32"/>
        </w:rPr>
        <w:t xml:space="preserve"> </w:t>
      </w:r>
      <w:r>
        <w:rPr/>
        <w:t>–</w:t>
      </w:r>
      <w:r>
        <w:rPr>
          <w:sz w:val="32"/>
        </w:rPr>
        <w:t xml:space="preserve"> </w:t>
      </w:r>
      <w:r>
        <w:rPr/>
        <w:t xml:space="preserve">объем ввода площадей в рамках проектов инфраструктуры жилой </w:t>
        <w:br/>
        <w:t xml:space="preserve">и коммерческой недвижимости в результате реализации i-го инфраструктурного проекта, кв. м; </w:t>
      </w:r>
    </w:p>
    <w:p>
      <w:pPr>
        <w:pStyle w:val="Normal"/>
        <w:spacing w:lineRule="auto" w:line="276" w:before="0" w:after="27"/>
        <w:ind w:left="-15" w:right="-45" w:firstLine="724"/>
        <w:rPr/>
      </w:pPr>
      <w:r>
        <w:rPr>
          <w:rFonts w:eastAsia="Cambria Math" w:cs="Cambria Math" w:ascii="Cambria Math" w:hAnsi="Cambria Math"/>
          <w:sz w:val="32"/>
        </w:rPr>
        <w:t>𝑇</w:t>
      </w:r>
      <w:r>
        <w:rPr>
          <w:rFonts w:eastAsia="Cambria Math" w:cs="Cambria Math" w:ascii="Cambria Math" w:hAnsi="Cambria Math"/>
          <w:sz w:val="32"/>
          <w:vertAlign w:val="subscript"/>
        </w:rPr>
        <w:t>𝑖</w:t>
      </w:r>
      <w:r>
        <w:rPr>
          <w:sz w:val="32"/>
        </w:rPr>
        <w:t xml:space="preserve"> </w:t>
      </w:r>
      <w:r>
        <w:rPr/>
        <w:t>–</w:t>
      </w:r>
      <w:r>
        <w:rPr>
          <w:sz w:val="32"/>
        </w:rPr>
        <w:t xml:space="preserve"> </w:t>
      </w:r>
      <w:r>
        <w:rPr/>
        <w:t>ежегодные удельные налоговые поступления в бюджетную систему</w:t>
        <w:br/>
        <w:t xml:space="preserve">для каждого вида недвижимости (определяется экспертным путем), рублей/кв. м; </w:t>
      </w:r>
    </w:p>
    <w:p>
      <w:pPr>
        <w:pStyle w:val="Normal"/>
        <w:spacing w:lineRule="auto" w:line="276" w:before="0" w:after="85"/>
        <w:ind w:left="-15" w:right="-45" w:firstLine="724"/>
        <w:rPr/>
      </w:pPr>
      <w:r>
        <w:rPr>
          <w:rFonts w:eastAsia="Cambria Math" w:cs="Cambria Math" w:ascii="Cambria Math" w:hAnsi="Cambria Math"/>
          <w:sz w:val="32"/>
        </w:rPr>
        <w:t>𝑘</w:t>
      </w:r>
      <w:r>
        <w:rPr>
          <w:rFonts w:eastAsia="Cambria Math" w:cs="Cambria Math" w:ascii="Cambria Math" w:hAnsi="Cambria Math"/>
          <w:sz w:val="32"/>
          <w:vertAlign w:val="subscript"/>
        </w:rPr>
        <w:t>суб</w:t>
      </w:r>
      <w:r>
        <w:rPr>
          <w:sz w:val="32"/>
        </w:rPr>
        <w:t xml:space="preserve"> </w:t>
      </w:r>
      <w:r>
        <w:rPr/>
        <w:t>–</w:t>
      </w:r>
      <w:r>
        <w:rPr>
          <w:sz w:val="32"/>
        </w:rPr>
        <w:t xml:space="preserve"> </w:t>
      </w:r>
      <w:r>
        <w:rPr/>
        <w:t>корректирующий коэффициент для субъекта Российской Федерации, рассчитываемый как отношение налоговых и неналоговых доходов консолидированного бюджета данного субъекта Российской Федерации на душу населения в последнем отчетном году к соответствующему показателю</w:t>
        <w:br/>
        <w:t>для города Москвы</w:t>
      </w:r>
      <w:r>
        <w:rPr>
          <w:rFonts w:eastAsia="Cambria Math" w:cs="Cambria Math" w:ascii="Cambria Math" w:hAnsi="Cambria Math"/>
          <w:sz w:val="32"/>
        </w:rPr>
        <w:t>.</w:t>
      </w:r>
    </w:p>
    <w:sectPr>
      <w:headerReference w:type="default" r:id="rId2"/>
      <w:headerReference w:type="first" r:id="rId3"/>
      <w:type w:val="nextPage"/>
      <w:pgSz w:w="11906" w:h="16838"/>
      <w:pgMar w:left="1277" w:right="751" w:header="765" w:top="1327" w:footer="0" w:bottom="851" w:gutter="0"/>
      <w:pgNumType w:start="1"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Times New Roman">
    <w:charset w:val="01"/>
    <w:family w:val="swiss"/>
    <w:pitch w:val="default"/>
  </w:font>
  <w:font w:name="Segoe UI">
    <w:charset w:val="01"/>
    <w:family w:val="swiss"/>
    <w:pitch w:val="default"/>
  </w:font>
  <w:font w:name="Liberation Sans">
    <w:altName w:val="Arial"/>
    <w:charset w:val="01"/>
    <w:family w:val="swiss"/>
    <w:pitch w:val="default"/>
  </w:font>
  <w:font w:name="Cambria Math">
    <w:charset w:val="01"/>
    <w:family w:val="swiss"/>
    <w:pitch w:val="default"/>
  </w:font>
  <w:font w:name="Arial">
    <w:charset w:val="01"/>
    <w:family w:val="swiss"/>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108166703"/>
    </w:sdtPr>
    <w:sdtContent>
      <w:p>
        <w:pPr>
          <w:pStyle w:val="Style23"/>
          <w:jc w:val="center"/>
          <w:rPr>
            <w:rFonts w:ascii="Times New Roman" w:hAnsi="Times New Roman"/>
            <w:sz w:val="24"/>
          </w:rPr>
        </w:pPr>
        <w:r>
          <w:rPr>
            <w:rFonts w:ascii="Times New Roman" w:hAnsi="Times New Roman"/>
            <w:sz w:val="24"/>
          </w:rPr>
          <w:fldChar w:fldCharType="begin"/>
        </w:r>
        <w:r>
          <w:rPr>
            <w:sz w:val="24"/>
            <w:rFonts w:ascii="Times New Roman" w:hAnsi="Times New Roman"/>
          </w:rPr>
          <w:instrText> PAGE </w:instrText>
        </w:r>
        <w:r>
          <w:rPr>
            <w:sz w:val="24"/>
            <w:rFonts w:ascii="Times New Roman" w:hAnsi="Times New Roman"/>
          </w:rPr>
          <w:fldChar w:fldCharType="separate"/>
        </w:r>
        <w:r>
          <w:rPr>
            <w:sz w:val="24"/>
            <w:rFonts w:ascii="Times New Roman" w:hAnsi="Times New Roman"/>
          </w:rPr>
          <w:t>20</w:t>
        </w:r>
        <w:r>
          <w:rPr>
            <w:sz w:val="24"/>
            <w:rFonts w:ascii="Times New Roman" w:hAnsi="Times New Roman"/>
          </w:rPr>
          <w:fldChar w:fldCharType="end"/>
        </w:r>
      </w:p>
    </w:sdtContent>
  </w:sdt>
  <w:p>
    <w:pPr>
      <w:pStyle w:val="Normal"/>
      <w:spacing w:lineRule="auto" w:line="259" w:before="0" w:after="0"/>
      <w:ind w:right="0" w:hanging="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right="99" w:hanging="0"/>
      <w:rPr/>
    </w:pPr>
    <w:r>
      <w:rPr/>
    </w:r>
  </w:p>
  <w:p>
    <w:pPr>
      <w:pStyle w:val="Normal"/>
      <w:spacing w:lineRule="auto" w:line="259" w:before="0" w:after="0"/>
      <w:ind w:right="0" w:hanging="0"/>
      <w:jc w:val="left"/>
      <w:rPr/>
    </w:pPr>
    <w:r>
      <w:rPr>
        <w:sz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upperRoman"/>
      <w:lvlText w:val="%1."/>
      <w:lvlJc w:val="left"/>
      <w:pPr>
        <w:tabs>
          <w:tab w:val="num" w:pos="0"/>
        </w:tabs>
        <w:ind w:left="0" w:hanging="0"/>
      </w:pPr>
      <w:rPr>
        <w:dstrike w:val="false"/>
        <w:strike w:val="false"/>
        <w:vertAlign w:val="baseline"/>
        <w:position w:val="0"/>
        <w:sz w:val="28"/>
        <w:sz w:val="28"/>
        <w:i w:val="false"/>
        <w:u w:val="none" w:color="000000"/>
        <w:b w:val="false"/>
        <w:shd w:fill="auto" w:val="clear"/>
        <w:szCs w:val="28"/>
        <w:bCs/>
        <w:rFonts w:ascii="Times New Roman" w:hAnsi="Times New Roman" w:eastAsia="Times New Roman" w:cs="Times New Roman"/>
        <w:color w:val="000000"/>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14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1">
      <w:start w:val="1"/>
      <w:numFmt w:val="lowerLetter"/>
      <w:lvlText w:val="%2"/>
      <w:lvlJc w:val="left"/>
      <w:pPr>
        <w:tabs>
          <w:tab w:val="num" w:pos="0"/>
        </w:tabs>
        <w:ind w:left="178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2">
      <w:start w:val="1"/>
      <w:numFmt w:val="lowerRoman"/>
      <w:lvlText w:val="%3"/>
      <w:lvlJc w:val="left"/>
      <w:pPr>
        <w:tabs>
          <w:tab w:val="num" w:pos="0"/>
        </w:tabs>
        <w:ind w:left="250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3">
      <w:start w:val="1"/>
      <w:numFmt w:val="decimal"/>
      <w:lvlText w:val="%4"/>
      <w:lvlJc w:val="left"/>
      <w:pPr>
        <w:tabs>
          <w:tab w:val="num" w:pos="0"/>
        </w:tabs>
        <w:ind w:left="322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4">
      <w:start w:val="1"/>
      <w:numFmt w:val="lowerLetter"/>
      <w:lvlText w:val="%5"/>
      <w:lvlJc w:val="left"/>
      <w:pPr>
        <w:tabs>
          <w:tab w:val="num" w:pos="0"/>
        </w:tabs>
        <w:ind w:left="394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5">
      <w:start w:val="1"/>
      <w:numFmt w:val="lowerRoman"/>
      <w:lvlText w:val="%6"/>
      <w:lvlJc w:val="left"/>
      <w:pPr>
        <w:tabs>
          <w:tab w:val="num" w:pos="0"/>
        </w:tabs>
        <w:ind w:left="466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6">
      <w:start w:val="1"/>
      <w:numFmt w:val="decimal"/>
      <w:lvlText w:val="%7"/>
      <w:lvlJc w:val="left"/>
      <w:pPr>
        <w:tabs>
          <w:tab w:val="num" w:pos="0"/>
        </w:tabs>
        <w:ind w:left="538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7">
      <w:start w:val="1"/>
      <w:numFmt w:val="lowerLetter"/>
      <w:lvlText w:val="%8"/>
      <w:lvlJc w:val="left"/>
      <w:pPr>
        <w:tabs>
          <w:tab w:val="num" w:pos="0"/>
        </w:tabs>
        <w:ind w:left="610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8">
      <w:start w:val="1"/>
      <w:numFmt w:val="lowerRoman"/>
      <w:lvlText w:val="%9"/>
      <w:lvlJc w:val="left"/>
      <w:pPr>
        <w:tabs>
          <w:tab w:val="num" w:pos="0"/>
        </w:tabs>
        <w:ind w:left="6828"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abstractNum>
  <w:abstractNum w:abstractNumId="3">
    <w:lvl w:ilvl="0">
      <w:start w:val="3"/>
      <w:numFmt w:val="decimal"/>
      <w:lvlText w:val="%1."/>
      <w:lvlJc w:val="left"/>
      <w:pPr>
        <w:tabs>
          <w:tab w:val="num" w:pos="0"/>
        </w:tabs>
        <w:ind w:left="0"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1">
      <w:start w:val="1"/>
      <w:numFmt w:val="lowerLetter"/>
      <w:lvlText w:val="%2"/>
      <w:lvlJc w:val="left"/>
      <w:pPr>
        <w:tabs>
          <w:tab w:val="num" w:pos="0"/>
        </w:tabs>
        <w:ind w:left="170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2">
      <w:start w:val="1"/>
      <w:numFmt w:val="lowerRoman"/>
      <w:lvlText w:val="%3"/>
      <w:lvlJc w:val="left"/>
      <w:pPr>
        <w:tabs>
          <w:tab w:val="num" w:pos="0"/>
        </w:tabs>
        <w:ind w:left="242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3">
      <w:start w:val="1"/>
      <w:numFmt w:val="decimal"/>
      <w:lvlText w:val="%4"/>
      <w:lvlJc w:val="left"/>
      <w:pPr>
        <w:tabs>
          <w:tab w:val="num" w:pos="0"/>
        </w:tabs>
        <w:ind w:left="314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4">
      <w:start w:val="1"/>
      <w:numFmt w:val="lowerLetter"/>
      <w:lvlText w:val="%5"/>
      <w:lvlJc w:val="left"/>
      <w:pPr>
        <w:tabs>
          <w:tab w:val="num" w:pos="0"/>
        </w:tabs>
        <w:ind w:left="386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5">
      <w:start w:val="1"/>
      <w:numFmt w:val="lowerRoman"/>
      <w:lvlText w:val="%6"/>
      <w:lvlJc w:val="left"/>
      <w:pPr>
        <w:tabs>
          <w:tab w:val="num" w:pos="0"/>
        </w:tabs>
        <w:ind w:left="458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6">
      <w:start w:val="1"/>
      <w:numFmt w:val="decimal"/>
      <w:lvlText w:val="%7"/>
      <w:lvlJc w:val="left"/>
      <w:pPr>
        <w:tabs>
          <w:tab w:val="num" w:pos="0"/>
        </w:tabs>
        <w:ind w:left="530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7">
      <w:start w:val="1"/>
      <w:numFmt w:val="lowerLetter"/>
      <w:lvlText w:val="%8"/>
      <w:lvlJc w:val="left"/>
      <w:pPr>
        <w:tabs>
          <w:tab w:val="num" w:pos="0"/>
        </w:tabs>
        <w:ind w:left="602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lvl w:ilvl="8">
      <w:start w:val="1"/>
      <w:numFmt w:val="lowerRoman"/>
      <w:lvlText w:val="%9"/>
      <w:lvlJc w:val="left"/>
      <w:pPr>
        <w:tabs>
          <w:tab w:val="num" w:pos="0"/>
        </w:tabs>
        <w:ind w:left="6744" w:hanging="0"/>
      </w:pPr>
      <w:rPr>
        <w:dstrike w:val="false"/>
        <w:strike w:val="false"/>
        <w:vertAlign w:val="baseline"/>
        <w:position w:val="0"/>
        <w:sz w:val="28"/>
        <w:sz w:val="28"/>
        <w:i w:val="false"/>
        <w:u w:val="none" w:color="000000"/>
        <w:b w:val="false"/>
        <w:shd w:fill="auto" w:val="clear"/>
        <w:szCs w:val="28"/>
        <w:rFonts w:ascii="Times New Roman" w:hAnsi="Times New Roman" w:eastAsia="Times New Roman" w:cs="Times New Roman"/>
        <w:color w:val="000000"/>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等线"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362" w:before="0" w:after="3"/>
      <w:ind w:right="2" w:firstLine="698"/>
      <w:jc w:val="both"/>
    </w:pPr>
    <w:rPr>
      <w:rFonts w:ascii="Times New Roman" w:hAnsi="Times New Roman" w:eastAsia="Times New Roman" w:cs="Times New Roman"/>
      <w:color w:val="000000"/>
      <w:kern w:val="0"/>
      <w:sz w:val="28"/>
      <w:szCs w:val="22"/>
      <w:lang w:val="ru-RU" w:eastAsia="ru-RU" w:bidi="ar-SA"/>
    </w:rPr>
  </w:style>
  <w:style w:type="paragraph" w:styleId="1">
    <w:name w:val="Heading 1"/>
    <w:next w:val="Normal"/>
    <w:link w:val="10"/>
    <w:uiPriority w:val="9"/>
    <w:unhideWhenUsed/>
    <w:qFormat/>
    <w:pPr>
      <w:keepNext w:val="true"/>
      <w:keepLines/>
      <w:widowControl/>
      <w:numPr>
        <w:ilvl w:val="0"/>
        <w:numId w:val="1"/>
      </w:numPr>
      <w:suppressAutoHyphens w:val="true"/>
      <w:bidi w:val="0"/>
      <w:spacing w:lineRule="auto" w:line="247" w:before="0" w:after="13"/>
      <w:ind w:left="10" w:right="135" w:hanging="10"/>
      <w:jc w:val="center"/>
      <w:outlineLvl w:val="0"/>
    </w:pPr>
    <w:rPr>
      <w:rFonts w:ascii="Times New Roman" w:hAnsi="Times New Roman" w:eastAsia="Times New Roman" w:cs="Times New Roman"/>
      <w:b/>
      <w:color w:val="000000"/>
      <w:kern w:val="0"/>
      <w:sz w:val="28"/>
      <w:szCs w:val="22"/>
      <w:lang w:val="ru-RU" w:eastAsia="ru-RU" w:bidi="ar-SA"/>
    </w:rPr>
  </w:style>
  <w:style w:type="character" w:styleId="DefaultParagraphFont" w:default="1">
    <w:name w:val="Default Paragraph Font"/>
    <w:uiPriority w:val="1"/>
    <w:semiHidden/>
    <w:unhideWhenUsed/>
    <w:qFormat/>
    <w:rPr/>
  </w:style>
  <w:style w:type="character" w:styleId="11" w:customStyle="1">
    <w:name w:val="Заголовок 1 Знак"/>
    <w:link w:val="1"/>
    <w:qFormat/>
    <w:rPr>
      <w:rFonts w:ascii="Times New Roman" w:hAnsi="Times New Roman" w:eastAsia="Times New Roman" w:cs="Times New Roman"/>
      <w:b/>
      <w:color w:val="000000"/>
      <w:sz w:val="28"/>
    </w:rPr>
  </w:style>
  <w:style w:type="character" w:styleId="Style13" w:customStyle="1">
    <w:name w:val="Текст выноски Знак"/>
    <w:basedOn w:val="DefaultParagraphFont"/>
    <w:uiPriority w:val="99"/>
    <w:semiHidden/>
    <w:qFormat/>
    <w:rsid w:val="008c7746"/>
    <w:rPr>
      <w:rFonts w:ascii="Segoe UI" w:hAnsi="Segoe UI" w:eastAsia="Times New Roman" w:cs="Segoe UI"/>
      <w:color w:val="000000"/>
      <w:sz w:val="18"/>
      <w:szCs w:val="18"/>
    </w:rPr>
  </w:style>
  <w:style w:type="character" w:styleId="PlaceholderText">
    <w:name w:val="Placeholder Text"/>
    <w:basedOn w:val="DefaultParagraphFont"/>
    <w:uiPriority w:val="99"/>
    <w:semiHidden/>
    <w:qFormat/>
    <w:rsid w:val="001435ba"/>
    <w:rPr>
      <w:color w:val="808080"/>
    </w:rPr>
  </w:style>
  <w:style w:type="character" w:styleId="Style14" w:customStyle="1">
    <w:name w:val="Нижний колонтитул Знак"/>
    <w:basedOn w:val="DefaultParagraphFont"/>
    <w:uiPriority w:val="99"/>
    <w:qFormat/>
    <w:rsid w:val="007365e9"/>
    <w:rPr>
      <w:rFonts w:ascii="Times New Roman" w:hAnsi="Times New Roman" w:eastAsia="Times New Roman" w:cs="Times New Roman"/>
      <w:color w:val="000000"/>
      <w:sz w:val="28"/>
    </w:rPr>
  </w:style>
  <w:style w:type="character" w:styleId="Style15" w:customStyle="1">
    <w:name w:val="Верхний колонтитул Знак"/>
    <w:basedOn w:val="DefaultParagraphFont"/>
    <w:uiPriority w:val="99"/>
    <w:qFormat/>
    <w:rsid w:val="007365e9"/>
    <w:rPr>
      <w:rFonts w:cs="Times New Roman"/>
    </w:rPr>
  </w:style>
  <w:style w:type="character" w:styleId="CharStyle3" w:customStyle="1">
    <w:name w:val="Char Style 3"/>
    <w:basedOn w:val="DefaultParagraphFont"/>
    <w:qFormat/>
    <w:rsid w:val="00c12f60"/>
    <w:rPr>
      <w:sz w:val="26"/>
      <w:szCs w:val="26"/>
      <w:u w:val="none"/>
    </w:rPr>
  </w:style>
  <w:style w:type="character" w:styleId="CharStyle57" w:customStyle="1">
    <w:name w:val="Char Style 57"/>
    <w:basedOn w:val="CharStyle3"/>
    <w:qFormat/>
    <w:rsid w:val="00c12f60"/>
    <w:rPr>
      <w:i/>
      <w:iCs/>
      <w:sz w:val="24"/>
      <w:szCs w:val="24"/>
      <w:u w:val="none"/>
    </w:rPr>
  </w:style>
  <w:style w:type="character" w:styleId="CharStyle68" w:customStyle="1">
    <w:name w:val="Char Style 68"/>
    <w:basedOn w:val="DefaultParagraphFont"/>
    <w:qFormat/>
    <w:rsid w:val="00c12f60"/>
    <w:rPr>
      <w:i/>
      <w:iCs/>
      <w:sz w:val="22"/>
      <w:szCs w:val="22"/>
      <w:u w:val="none"/>
    </w:rPr>
  </w:style>
  <w:style w:type="character" w:styleId="CharStyle69" w:customStyle="1">
    <w:name w:val="Char Style 69"/>
    <w:basedOn w:val="CharStyle68"/>
    <w:qFormat/>
    <w:rsid w:val="00c12f60"/>
    <w:rPr>
      <w:i w:val="false"/>
      <w:iCs w:val="false"/>
      <w:sz w:val="22"/>
      <w:szCs w:val="22"/>
      <w:u w:val="none"/>
    </w:rPr>
  </w:style>
  <w:style w:type="character" w:styleId="CharStyle71" w:customStyle="1">
    <w:name w:val="Char Style 71"/>
    <w:basedOn w:val="DefaultParagraphFont"/>
    <w:qFormat/>
    <w:rsid w:val="00c12f60"/>
    <w:rPr>
      <w:i/>
      <w:iCs/>
      <w:u w:val="none"/>
    </w:rPr>
  </w:style>
  <w:style w:type="character" w:styleId="CharStyle72" w:customStyle="1">
    <w:name w:val="Char Style 72"/>
    <w:basedOn w:val="DefaultParagraphFont"/>
    <w:qFormat/>
    <w:rsid w:val="00c12f60"/>
    <w:rPr>
      <w:b/>
      <w:bCs/>
      <w:i/>
      <w:iCs/>
      <w:spacing w:val="0"/>
      <w:sz w:val="17"/>
      <w:szCs w:val="17"/>
      <w:u w:val="none"/>
    </w:rPr>
  </w:style>
  <w:style w:type="paragraph" w:styleId="Style16" w:customStyle="1">
    <w:name w:val="Заголовок"/>
    <w:basedOn w:val="Normal"/>
    <w:next w:val="Style17"/>
    <w:qFormat/>
    <w:pPr>
      <w:keepNext w:val="true"/>
      <w:spacing w:before="240" w:after="120"/>
    </w:pPr>
    <w:rPr>
      <w:rFonts w:ascii="Liberation Sans" w:hAnsi="Liberation Sans" w:eastAsia="Tahoma" w:cs="Droid Sans Devanagari"/>
      <w:szCs w:val="28"/>
    </w:rPr>
  </w:style>
  <w:style w:type="paragraph" w:styleId="Style17">
    <w:name w:val="Body Text"/>
    <w:basedOn w:val="Normal"/>
    <w:pPr>
      <w:spacing w:lineRule="auto" w:line="276" w:before="0" w:after="140"/>
    </w:pPr>
    <w:rPr/>
  </w:style>
  <w:style w:type="paragraph" w:styleId="Style18">
    <w:name w:val="List"/>
    <w:basedOn w:val="Style17"/>
    <w:pPr/>
    <w:rPr>
      <w:rFonts w:ascii="Calibri" w:hAnsi="Calibri" w:cs="Droid Sans Devanagari"/>
    </w:rPr>
  </w:style>
  <w:style w:type="paragraph" w:styleId="Style19">
    <w:name w:val="Caption"/>
    <w:basedOn w:val="Normal"/>
    <w:qFormat/>
    <w:pPr>
      <w:suppressLineNumbers/>
      <w:spacing w:before="120" w:after="120"/>
    </w:pPr>
    <w:rPr>
      <w:rFonts w:ascii="Calibri" w:hAnsi="Calibri" w:cs="Droid Sans Devanagari"/>
      <w:i/>
      <w:iCs/>
      <w:sz w:val="24"/>
      <w:szCs w:val="24"/>
    </w:rPr>
  </w:style>
  <w:style w:type="paragraph" w:styleId="Style20">
    <w:name w:val="Указатель"/>
    <w:basedOn w:val="Normal"/>
    <w:qFormat/>
    <w:pPr>
      <w:suppressLineNumbers/>
    </w:pPr>
    <w:rPr>
      <w:rFonts w:ascii="Calibri" w:hAnsi="Calibri" w:cs="Droid Sans Devanagari"/>
    </w:rPr>
  </w:style>
  <w:style w:type="paragraph" w:styleId="Caption">
    <w:name w:val="caption"/>
    <w:basedOn w:val="Normal"/>
    <w:qFormat/>
    <w:pPr>
      <w:suppressLineNumbers/>
      <w:spacing w:before="120" w:after="120"/>
    </w:pPr>
    <w:rPr>
      <w:rFonts w:ascii="Calibri" w:hAnsi="Calibri" w:cs="Droid Sans Devanagari"/>
      <w:i/>
      <w:iCs/>
      <w:sz w:val="24"/>
      <w:szCs w:val="24"/>
    </w:rPr>
  </w:style>
  <w:style w:type="paragraph" w:styleId="Indexheading">
    <w:name w:val="index heading"/>
    <w:basedOn w:val="Normal"/>
    <w:qFormat/>
    <w:pPr>
      <w:suppressLineNumbers/>
    </w:pPr>
    <w:rPr>
      <w:rFonts w:ascii="Calibri" w:hAnsi="Calibri" w:cs="Droid Sans Devanagari"/>
    </w:rPr>
  </w:style>
  <w:style w:type="paragraph" w:styleId="BalloonText">
    <w:name w:val="Balloon Text"/>
    <w:basedOn w:val="Normal"/>
    <w:uiPriority w:val="99"/>
    <w:semiHidden/>
    <w:unhideWhenUsed/>
    <w:qFormat/>
    <w:rsid w:val="008c7746"/>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1435ba"/>
    <w:pPr>
      <w:spacing w:before="0" w:after="3"/>
      <w:ind w:left="720" w:right="2" w:firstLine="698"/>
      <w:contextualSpacing/>
    </w:pPr>
    <w:rPr/>
  </w:style>
  <w:style w:type="paragraph" w:styleId="Style21" w:customStyle="1">
    <w:name w:val="Колонтитул"/>
    <w:basedOn w:val="Normal"/>
    <w:qFormat/>
    <w:pPr/>
    <w:rPr/>
  </w:style>
  <w:style w:type="paragraph" w:styleId="Style22">
    <w:name w:val="Footer"/>
    <w:basedOn w:val="Normal"/>
    <w:uiPriority w:val="99"/>
    <w:unhideWhenUsed/>
    <w:rsid w:val="007365e9"/>
    <w:pPr>
      <w:tabs>
        <w:tab w:val="clear" w:pos="708"/>
        <w:tab w:val="center" w:pos="4677" w:leader="none"/>
        <w:tab w:val="right" w:pos="9355" w:leader="none"/>
      </w:tabs>
      <w:spacing w:lineRule="auto" w:line="240" w:before="0" w:after="0"/>
    </w:pPr>
    <w:rPr/>
  </w:style>
  <w:style w:type="paragraph" w:styleId="Style23">
    <w:name w:val="Header"/>
    <w:basedOn w:val="Normal"/>
    <w:uiPriority w:val="99"/>
    <w:unhideWhenUsed/>
    <w:rsid w:val="007365e9"/>
    <w:pPr>
      <w:tabs>
        <w:tab w:val="clear" w:pos="708"/>
        <w:tab w:val="center" w:pos="4680" w:leader="none"/>
        <w:tab w:val="right" w:pos="9360" w:leader="none"/>
      </w:tabs>
      <w:spacing w:lineRule="auto" w:line="240" w:before="0" w:after="0"/>
      <w:ind w:right="0" w:hanging="0"/>
      <w:jc w:val="left"/>
    </w:pPr>
    <w:rPr>
      <w:rFonts w:ascii="Calibri" w:hAnsi="Calibri" w:eastAsia="等线" w:asciiTheme="minorHAnsi" w:eastAsiaTheme="minorEastAsia" w:hAnsiTheme="minorHAnsi"/>
      <w:color w:val="auto"/>
      <w:sz w:val="22"/>
    </w:rPr>
  </w:style>
  <w:style w:type="paragraph" w:styleId="Style24" w:customStyle="1">
    <w:name w:val="Style 2"/>
    <w:basedOn w:val="Normal"/>
    <w:qFormat/>
    <w:rsid w:val="00c12f60"/>
    <w:pPr>
      <w:shd w:val="clear" w:color="auto" w:fill="FFFFFF"/>
      <w:spacing w:lineRule="atLeast" w:line="240" w:before="0" w:after="180"/>
      <w:ind w:right="0" w:hanging="0"/>
      <w:jc w:val="center"/>
    </w:pPr>
    <w:rPr>
      <w:color w:val="auto"/>
      <w:sz w:val="26"/>
      <w:szCs w:val="26"/>
    </w:rPr>
  </w:style>
  <w:style w:type="paragraph" w:styleId="Style67" w:customStyle="1">
    <w:name w:val="Style 67"/>
    <w:basedOn w:val="Normal"/>
    <w:qFormat/>
    <w:rsid w:val="00c12f60"/>
    <w:pPr>
      <w:shd w:val="clear" w:color="auto" w:fill="FFFFFF"/>
      <w:spacing w:lineRule="exact" w:line="480" w:before="0" w:after="0"/>
      <w:ind w:right="0" w:firstLine="560"/>
    </w:pPr>
    <w:rPr>
      <w:i/>
      <w:iCs/>
      <w:color w:val="auto"/>
      <w:sz w:val="22"/>
    </w:rPr>
  </w:style>
  <w:style w:type="paragraph" w:styleId="Style70" w:customStyle="1">
    <w:name w:val="Style 70"/>
    <w:basedOn w:val="Normal"/>
    <w:qFormat/>
    <w:rsid w:val="00c12f60"/>
    <w:pPr>
      <w:shd w:val="clear" w:color="auto" w:fill="FFFFFF"/>
      <w:spacing w:lineRule="exact" w:line="480" w:before="0" w:after="0"/>
      <w:ind w:right="0" w:firstLine="560"/>
    </w:pPr>
    <w:rPr>
      <w:i/>
      <w:iCs/>
      <w:color w:val="auto"/>
      <w:sz w:val="24"/>
      <w:szCs w:val="24"/>
    </w:rPr>
  </w:style>
  <w:style w:type="paragraph" w:styleId="Style31" w:customStyle="1">
    <w:name w:val="Style 31"/>
    <w:basedOn w:val="Normal"/>
    <w:qFormat/>
    <w:rsid w:val="00c12f60"/>
    <w:pPr>
      <w:shd w:val="clear" w:color="auto" w:fill="FFFFFF"/>
      <w:spacing w:lineRule="atLeast" w:line="240" w:before="0" w:after="240"/>
      <w:ind w:right="0" w:hanging="0"/>
      <w:jc w:val="left"/>
    </w:pPr>
    <w:rPr>
      <w:b/>
      <w:bCs/>
      <w:i/>
      <w:iCs/>
      <w:color w:val="auto"/>
      <w:spacing w:val="20"/>
      <w:sz w:val="17"/>
      <w:szCs w:val="17"/>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Grid">
    <w:name w:val="TableGri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0293B-266A-4ED7-8CEC-1057FAC7E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Application>LibreOffice/7.1.6.2$Linux_X86_64 LibreOffice_project/0e133318fcee89abacd6a7d077e292f1145735c3</Application>
  <AppVersion>15.0000</AppVersion>
  <Pages>20</Pages>
  <Words>4253</Words>
  <Characters>32759</Characters>
  <CharactersWithSpaces>37052</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2022-02-02T09:13:00Z</dcterms:created>
  <dc:creator>Шмидт Андрей Дмитриевич</dc:creator>
  <dc:description/>
  <dc:language>ru-RU</dc:language>
  <cp:lastModifiedBy/>
  <cp:lastPrinted>2022-01-21T16:39:00Z</cp:lastPrinted>
  <dcterms:modified xsi:type="dcterms:W3CDTF">2022-02-03T13:39:54Z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